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1AEF" w14:textId="77777777" w:rsidR="00144CE7" w:rsidRPr="00E2486C" w:rsidRDefault="00144CE7" w:rsidP="00144CE7">
      <w:pPr>
        <w:spacing w:after="0" w:line="240" w:lineRule="auto"/>
        <w:jc w:val="center"/>
        <w:rPr>
          <w:rFonts w:ascii="Times New Roman" w:eastAsia="Calibri" w:hAnsi="Times New Roman"/>
          <w:b/>
          <w:sz w:val="20"/>
          <w:szCs w:val="20"/>
          <w14:ligatures w14:val="none"/>
        </w:rPr>
      </w:pPr>
      <w:bookmarkStart w:id="0" w:name="_Toc167914354"/>
      <w:r w:rsidRPr="00E2486C">
        <w:rPr>
          <w:rFonts w:ascii="Times New Roman" w:eastAsia="Calibri" w:hAnsi="Times New Roman"/>
          <w:b/>
          <w:sz w:val="20"/>
          <w:szCs w:val="20"/>
          <w14:ligatures w14:val="none"/>
        </w:rPr>
        <w:t>CANEVAS DU PGES OBLIGATOIRE EN ANNEXE DE L’ACCORD DE FINANCEMENT (AF)</w:t>
      </w:r>
    </w:p>
    <w:p w14:paraId="5D93F447" w14:textId="77777777" w:rsidR="00144CE7" w:rsidRPr="00E2486C" w:rsidRDefault="00144CE7" w:rsidP="00144CE7">
      <w:pPr>
        <w:spacing w:after="0" w:line="240" w:lineRule="auto"/>
        <w:jc w:val="center"/>
        <w:rPr>
          <w:rFonts w:ascii="Times New Roman" w:eastAsia="Calibri" w:hAnsi="Times New Roman"/>
          <w:b/>
          <w:sz w:val="20"/>
          <w:szCs w:val="20"/>
          <w14:ligatures w14:val="none"/>
        </w:rPr>
      </w:pPr>
    </w:p>
    <w:p w14:paraId="100F1D24" w14:textId="77777777" w:rsidR="00144CE7" w:rsidRPr="00E2486C" w:rsidRDefault="00144CE7" w:rsidP="00144CE7">
      <w:pPr>
        <w:spacing w:after="0" w:line="240" w:lineRule="auto"/>
        <w:jc w:val="center"/>
        <w:rPr>
          <w:rFonts w:ascii="Times New Roman" w:hAnsi="Times New Roman" w:cs="Times New Roman"/>
          <w:b/>
          <w:sz w:val="24"/>
          <w:szCs w:val="24"/>
          <w14:ligatures w14:val="none"/>
        </w:rPr>
      </w:pPr>
    </w:p>
    <w:p w14:paraId="2EDD9D49" w14:textId="19354615" w:rsidR="00144CE7" w:rsidRPr="00E2486C" w:rsidRDefault="00144CE7" w:rsidP="00144CE7">
      <w:pPr>
        <w:spacing w:after="0" w:line="240" w:lineRule="auto"/>
        <w:jc w:val="center"/>
        <w:rPr>
          <w:rFonts w:ascii="Times New Roman" w:hAnsi="Times New Roman" w:cs="Times New Roman"/>
          <w:b/>
          <w:sz w:val="24"/>
          <w:szCs w:val="24"/>
          <w14:ligatures w14:val="none"/>
        </w:rPr>
      </w:pPr>
      <w:r w:rsidRPr="00E2486C">
        <w:rPr>
          <w:rFonts w:ascii="Times New Roman" w:hAnsi="Times New Roman" w:cs="Times New Roman"/>
          <w:b/>
          <w:sz w:val="24"/>
          <w:szCs w:val="24"/>
          <w14:ligatures w14:val="none"/>
        </w:rPr>
        <w:t>[</w:t>
      </w:r>
      <w:r w:rsidRPr="00144CE7">
        <w:rPr>
          <w:rFonts w:ascii="Times New Roman" w:hAnsi="Times New Roman" w:cs="Times New Roman"/>
          <w:b/>
          <w:sz w:val="24"/>
          <w:szCs w:val="24"/>
          <w14:ligatures w14:val="none"/>
        </w:rPr>
        <w:t>PROJET DE RENFORCEMENT DU CAPITAL HUMAIN EN APPUI A L’INCLUSION ECONOMIQUE ET SOCIALE, PHASE 1 (PARCH 1)</w:t>
      </w:r>
      <w:r>
        <w:rPr>
          <w:rFonts w:ascii="Times New Roman" w:hAnsi="Times New Roman" w:cs="Times New Roman"/>
          <w:b/>
          <w:sz w:val="24"/>
          <w:szCs w:val="24"/>
          <w14:ligatures w14:val="none"/>
        </w:rPr>
        <w:t xml:space="preserve"> </w:t>
      </w:r>
      <w:r>
        <w:rPr>
          <w:rFonts w:ascii="Times New Roman" w:hAnsi="Times New Roman" w:cs="Times New Roman"/>
          <w:b/>
          <w:sz w:val="24"/>
          <w:szCs w:val="24"/>
          <w14:ligatures w14:val="none"/>
        </w:rPr>
        <w:t xml:space="preserve">- </w:t>
      </w:r>
      <w:r w:rsidRPr="00E2486C">
        <w:rPr>
          <w:rFonts w:ascii="Times New Roman" w:hAnsi="Times New Roman" w:cs="Times New Roman"/>
          <w:b/>
          <w:sz w:val="24"/>
          <w:szCs w:val="24"/>
          <w14:ligatures w14:val="none"/>
        </w:rPr>
        <w:t>P-GQ-I00-001]</w:t>
      </w:r>
    </w:p>
    <w:p w14:paraId="06E7BDA2" w14:textId="77777777" w:rsidR="00144CE7" w:rsidRPr="00E2486C" w:rsidRDefault="00144CE7" w:rsidP="00144CE7">
      <w:pPr>
        <w:spacing w:after="0" w:line="240" w:lineRule="auto"/>
        <w:jc w:val="center"/>
        <w:rPr>
          <w:rFonts w:ascii="Times New Roman" w:hAnsi="Times New Roman" w:cs="Times New Roman"/>
          <w:b/>
          <w:sz w:val="24"/>
          <w:szCs w:val="24"/>
          <w14:ligatures w14:val="none"/>
        </w:rPr>
      </w:pPr>
    </w:p>
    <w:p w14:paraId="0362A79A" w14:textId="77777777" w:rsidR="00144CE7" w:rsidRPr="00E2486C" w:rsidRDefault="00144CE7" w:rsidP="00144CE7">
      <w:pPr>
        <w:spacing w:after="0" w:line="240" w:lineRule="auto"/>
        <w:jc w:val="center"/>
        <w:rPr>
          <w:rFonts w:ascii="Times New Roman" w:hAnsi="Times New Roman" w:cs="Times New Roman"/>
          <w:b/>
          <w:sz w:val="24"/>
          <w:szCs w:val="24"/>
          <w14:ligatures w14:val="none"/>
        </w:rPr>
      </w:pPr>
      <w:r w:rsidRPr="00E2486C">
        <w:rPr>
          <w:rFonts w:ascii="Times New Roman" w:hAnsi="Times New Roman" w:cs="Times New Roman"/>
          <w:b/>
          <w:sz w:val="24"/>
          <w:szCs w:val="24"/>
          <w14:ligatures w14:val="none"/>
        </w:rPr>
        <w:t xml:space="preserve">Plan de Gestion Environnemental &amp; Social  </w:t>
      </w:r>
    </w:p>
    <w:p w14:paraId="7AC477D0" w14:textId="77777777" w:rsidR="00144CE7" w:rsidRPr="00E2486C" w:rsidRDefault="00144CE7" w:rsidP="00144CE7">
      <w:pPr>
        <w:spacing w:after="0" w:line="240" w:lineRule="auto"/>
        <w:jc w:val="center"/>
        <w:rPr>
          <w:rFonts w:ascii="Times New Roman" w:hAnsi="Times New Roman" w:cs="Times New Roman"/>
          <w:b/>
          <w:sz w:val="24"/>
          <w:szCs w:val="24"/>
          <w14:ligatures w14:val="none"/>
        </w:rPr>
      </w:pPr>
      <w:r w:rsidRPr="00E2486C">
        <w:rPr>
          <w:rFonts w:ascii="Times New Roman" w:hAnsi="Times New Roman" w:cs="Times New Roman"/>
          <w:b/>
          <w:sz w:val="24"/>
          <w:szCs w:val="24"/>
          <w14:ligatures w14:val="none"/>
        </w:rPr>
        <w:t xml:space="preserve"> (PGES) </w:t>
      </w:r>
    </w:p>
    <w:p w14:paraId="5E356198" w14:textId="77777777" w:rsidR="00144CE7" w:rsidRPr="00E2486C" w:rsidRDefault="00144CE7" w:rsidP="00144CE7">
      <w:pPr>
        <w:spacing w:after="0" w:line="240" w:lineRule="auto"/>
        <w:jc w:val="center"/>
        <w:rPr>
          <w:rFonts w:ascii="Times New Roman" w:hAnsi="Times New Roman" w:cs="Times New Roman"/>
          <w:b/>
          <w:sz w:val="24"/>
          <w:szCs w:val="24"/>
          <w14:ligatures w14:val="none"/>
        </w:rPr>
      </w:pPr>
    </w:p>
    <w:p w14:paraId="40EDE7F3" w14:textId="77777777" w:rsidR="00144CE7" w:rsidRPr="00E2486C" w:rsidRDefault="00144CE7" w:rsidP="00144CE7">
      <w:pPr>
        <w:spacing w:after="0" w:line="240" w:lineRule="auto"/>
        <w:jc w:val="center"/>
        <w:rPr>
          <w:rFonts w:ascii="Times New Roman" w:hAnsi="Times New Roman" w:cs="Times New Roman"/>
          <w:b/>
          <w:sz w:val="24"/>
          <w:szCs w:val="24"/>
          <w14:ligatures w14:val="none"/>
        </w:rPr>
      </w:pPr>
    </w:p>
    <w:p w14:paraId="01E8260E" w14:textId="77777777" w:rsidR="00144CE7" w:rsidRPr="00E2486C" w:rsidRDefault="00144CE7" w:rsidP="00144CE7">
      <w:pPr>
        <w:spacing w:after="0" w:line="240" w:lineRule="auto"/>
        <w:jc w:val="center"/>
        <w:rPr>
          <w:rFonts w:ascii="Times New Roman" w:hAnsi="Times New Roman" w:cs="Times New Roman"/>
          <w:b/>
          <w:sz w:val="24"/>
          <w:szCs w:val="24"/>
          <w14:ligatures w14:val="none"/>
        </w:rPr>
      </w:pPr>
    </w:p>
    <w:p w14:paraId="42089338" w14:textId="77777777" w:rsidR="00144CE7" w:rsidRPr="00E2486C" w:rsidRDefault="00144CE7" w:rsidP="00144CE7">
      <w:pPr>
        <w:spacing w:after="0" w:line="240" w:lineRule="auto"/>
        <w:jc w:val="center"/>
        <w:rPr>
          <w:rFonts w:ascii="Times New Roman" w:hAnsi="Times New Roman" w:cs="Times New Roman"/>
          <w:sz w:val="44"/>
          <w14:ligatures w14:val="none"/>
        </w:rPr>
      </w:pPr>
      <w:r w:rsidRPr="00E2486C">
        <w:rPr>
          <w:rFonts w:ascii="Times New Roman" w:hAnsi="Times New Roman" w:cs="Times New Roman"/>
          <w:b/>
          <w:sz w:val="24"/>
          <w:szCs w:val="24"/>
          <w14:ligatures w14:val="none"/>
        </w:rPr>
        <w:t>Appendice de l’Accord juridique</w:t>
      </w:r>
    </w:p>
    <w:p w14:paraId="5E04A4A9" w14:textId="77777777" w:rsidR="00144CE7" w:rsidRPr="00E2486C" w:rsidRDefault="00144CE7" w:rsidP="00144CE7">
      <w:pPr>
        <w:spacing w:after="0" w:line="240" w:lineRule="auto"/>
        <w:jc w:val="center"/>
        <w:rPr>
          <w:rFonts w:ascii="Times New Roman" w:hAnsi="Times New Roman" w:cs="Times New Roman"/>
          <w:sz w:val="44"/>
          <w14:ligatures w14:val="none"/>
        </w:rPr>
      </w:pPr>
    </w:p>
    <w:p w14:paraId="732DC5A7" w14:textId="77777777" w:rsidR="00144CE7" w:rsidRPr="00E2486C" w:rsidRDefault="00144CE7" w:rsidP="00144CE7">
      <w:pPr>
        <w:spacing w:after="0" w:line="240" w:lineRule="auto"/>
        <w:jc w:val="center"/>
        <w:rPr>
          <w:rFonts w:ascii="Times New Roman" w:hAnsi="Times New Roman" w:cs="Times New Roman"/>
          <w:sz w:val="44"/>
          <w14:ligatures w14:val="none"/>
        </w:rPr>
      </w:pPr>
      <w:r w:rsidRPr="00E2486C">
        <w:rPr>
          <w:rFonts w:ascii="Times New Roman" w:hAnsi="Times New Roman" w:cs="Times New Roman"/>
          <w:b/>
          <w14:ligatures w14:val="none"/>
        </w:rPr>
        <w:t xml:space="preserve">Considérations Générales </w:t>
      </w:r>
    </w:p>
    <w:p w14:paraId="3E0484D7" w14:textId="77777777" w:rsidR="00144CE7" w:rsidRPr="00E2486C" w:rsidRDefault="00144CE7" w:rsidP="00144CE7">
      <w:pPr>
        <w:spacing w:after="0" w:line="240" w:lineRule="auto"/>
        <w:jc w:val="center"/>
        <w:rPr>
          <w:rFonts w:ascii="Times New Roman" w:hAnsi="Times New Roman" w:cs="Times New Roman"/>
          <w:b/>
          <w:i/>
          <w:iCs/>
          <w14:ligatures w14:val="none"/>
        </w:rPr>
      </w:pPr>
    </w:p>
    <w:p w14:paraId="4E68F89B" w14:textId="34C69C8C" w:rsidR="00144CE7" w:rsidRPr="00E2486C" w:rsidRDefault="00144CE7" w:rsidP="00144CE7">
      <w:pPr>
        <w:numPr>
          <w:ilvl w:val="0"/>
          <w:numId w:val="1"/>
        </w:numPr>
        <w:spacing w:after="240" w:line="240" w:lineRule="auto"/>
        <w:jc w:val="both"/>
        <w:rPr>
          <w:rFonts w:ascii="Times New Roman" w:hAnsi="Times New Roman"/>
          <w14:ligatures w14:val="none"/>
        </w:rPr>
      </w:pPr>
      <w:r w:rsidRPr="00144CE7">
        <w:rPr>
          <w:rFonts w:ascii="Times New Roman" w:hAnsi="Times New Roman"/>
          <w:iCs/>
          <w14:ligatures w14:val="none"/>
        </w:rPr>
        <w:t>Le gouvernement de la République de Guinée équatoriale</w:t>
      </w:r>
      <w:r w:rsidRPr="00144CE7">
        <w:rPr>
          <w:rFonts w:ascii="Times New Roman" w:hAnsi="Times New Roman"/>
          <w14:ligatures w14:val="none"/>
        </w:rPr>
        <w:t xml:space="preserve"> </w:t>
      </w:r>
      <w:r w:rsidRPr="00E2486C">
        <w:rPr>
          <w:rFonts w:ascii="Times New Roman" w:hAnsi="Times New Roman"/>
          <w14:ligatures w14:val="none"/>
        </w:rPr>
        <w:t xml:space="preserve">prévoit de mettre en œuvre le Projet </w:t>
      </w:r>
      <w:r w:rsidRPr="00144CE7">
        <w:rPr>
          <w:rFonts w:ascii="Times New Roman" w:hAnsi="Times New Roman"/>
          <w14:ligatures w14:val="none"/>
        </w:rPr>
        <w:t xml:space="preserve">de renforcement du capital humain en appui à l’inclusion économique et sociale, phase </w:t>
      </w:r>
      <w:r w:rsidRPr="00144CE7">
        <w:rPr>
          <w:rFonts w:ascii="Times New Roman" w:hAnsi="Times New Roman"/>
          <w14:ligatures w14:val="none"/>
        </w:rPr>
        <w:t>1 (PARCH 1)</w:t>
      </w:r>
      <w:r w:rsidRPr="00144CE7">
        <w:rPr>
          <w:rFonts w:ascii="Times New Roman" w:hAnsi="Times New Roman"/>
          <w14:ligatures w14:val="none"/>
        </w:rPr>
        <w:t xml:space="preserve"> </w:t>
      </w:r>
      <w:r w:rsidRPr="00E2486C">
        <w:rPr>
          <w:rFonts w:ascii="Times New Roman" w:hAnsi="Times New Roman"/>
          <w14:ligatures w14:val="none"/>
        </w:rPr>
        <w:t xml:space="preserve">(le </w:t>
      </w:r>
      <w:r w:rsidRPr="00E2486C">
        <w:rPr>
          <w:rFonts w:ascii="Times New Roman" w:hAnsi="Times New Roman"/>
          <w:b/>
          <w:bCs/>
          <w:i/>
          <w:iCs/>
          <w14:ligatures w14:val="none"/>
        </w:rPr>
        <w:t>Projet</w:t>
      </w:r>
      <w:r w:rsidRPr="00E2486C">
        <w:rPr>
          <w:rFonts w:ascii="Times New Roman" w:hAnsi="Times New Roman"/>
          <w14:ligatures w14:val="none"/>
        </w:rPr>
        <w:t xml:space="preserve">). La Banque a accepté de fournir le financement, l'appui et le suivi de la mise en œuvre du projet. </w:t>
      </w:r>
    </w:p>
    <w:p w14:paraId="2C163D9C" w14:textId="390D08ED" w:rsidR="00144CE7" w:rsidRPr="00E2486C" w:rsidRDefault="00144CE7" w:rsidP="00144CE7">
      <w:pPr>
        <w:numPr>
          <w:ilvl w:val="0"/>
          <w:numId w:val="1"/>
        </w:numPr>
        <w:spacing w:after="240" w:line="240" w:lineRule="auto"/>
        <w:jc w:val="both"/>
        <w:rPr>
          <w:rFonts w:ascii="Times New Roman" w:hAnsi="Times New Roman"/>
          <w14:ligatures w14:val="none"/>
        </w:rPr>
      </w:pPr>
      <w:r w:rsidRPr="00144CE7">
        <w:rPr>
          <w:rFonts w:ascii="Times New Roman" w:hAnsi="Times New Roman"/>
          <w14:ligatures w14:val="none"/>
        </w:rPr>
        <w:t xml:space="preserve">Le gouvernement de la République de Guinée équatoriale </w:t>
      </w:r>
      <w:r w:rsidRPr="00E2486C">
        <w:rPr>
          <w:rFonts w:ascii="Times New Roman" w:hAnsi="Times New Roman"/>
          <w14:ligatures w14:val="none"/>
        </w:rPr>
        <w:t>mettra en œuvre les mesures et actions de ce Plan de Gestion Environnementale et Sociale</w:t>
      </w:r>
      <w:r w:rsidRPr="00E2486C">
        <w:rPr>
          <w:rFonts w:ascii="Times New Roman" w:hAnsi="Times New Roman"/>
          <w:vertAlign w:val="superscript"/>
          <w14:ligatures w14:val="none"/>
        </w:rPr>
        <w:footnoteReference w:id="1"/>
      </w:r>
      <w:r w:rsidRPr="00E2486C">
        <w:rPr>
          <w:rFonts w:ascii="Times New Roman" w:hAnsi="Times New Roman"/>
          <w14:ligatures w14:val="none"/>
        </w:rPr>
        <w:t xml:space="preserve"> (</w:t>
      </w:r>
      <w:r w:rsidRPr="00E2486C">
        <w:rPr>
          <w:rFonts w:ascii="Times New Roman" w:hAnsi="Times New Roman"/>
          <w:b/>
          <w:bCs/>
          <w:i/>
          <w:iCs/>
          <w14:ligatures w14:val="none"/>
        </w:rPr>
        <w:t>PGES</w:t>
      </w:r>
      <w:r w:rsidRPr="00E2486C">
        <w:rPr>
          <w:rFonts w:ascii="Times New Roman" w:hAnsi="Times New Roman"/>
          <w14:ligatures w14:val="none"/>
        </w:rPr>
        <w:t>) afin que le projet réponde à toutes les exigences des Sauvegardes Opérationnelles (</w:t>
      </w:r>
      <w:r w:rsidRPr="00E2486C">
        <w:rPr>
          <w:rFonts w:ascii="Times New Roman" w:hAnsi="Times New Roman"/>
          <w:b/>
          <w:bCs/>
          <w:i/>
          <w:iCs/>
          <w14:ligatures w14:val="none"/>
        </w:rPr>
        <w:t>SO</w:t>
      </w:r>
      <w:r w:rsidRPr="00E2486C">
        <w:rPr>
          <w:rFonts w:ascii="Times New Roman" w:hAnsi="Times New Roman"/>
          <w14:ligatures w14:val="none"/>
        </w:rPr>
        <w:t xml:space="preserve">) environnementales et sociales de la Banque et aux exigences des politiques et législations nationales du pays hôte. </w:t>
      </w:r>
    </w:p>
    <w:p w14:paraId="6C464157" w14:textId="77777777" w:rsidR="00144CE7" w:rsidRPr="00E2486C" w:rsidRDefault="00144CE7" w:rsidP="00144CE7">
      <w:pPr>
        <w:numPr>
          <w:ilvl w:val="0"/>
          <w:numId w:val="1"/>
        </w:numPr>
        <w:spacing w:after="240" w:line="240" w:lineRule="auto"/>
        <w:jc w:val="both"/>
        <w:rPr>
          <w:rFonts w:ascii="Times New Roman" w:hAnsi="Times New Roman"/>
          <w14:ligatures w14:val="none"/>
        </w:rPr>
      </w:pPr>
      <w:r w:rsidRPr="00E2486C">
        <w:rPr>
          <w:rFonts w:ascii="Times New Roman" w:hAnsi="Times New Roman"/>
          <w14:ligatures w14:val="none"/>
        </w:rPr>
        <w:t>Là où le PGES fait référence à des plans spécifiques, qu’ils aient déjà été préparés ou qu’ils soient à élaborer, le PGES exige le respect de toutes les dispositions obligatoires de ces plans.</w:t>
      </w:r>
    </w:p>
    <w:p w14:paraId="5E45A53C" w14:textId="4A3C1914" w:rsidR="00144CE7" w:rsidRPr="00E2486C" w:rsidRDefault="00144CE7" w:rsidP="00144CE7">
      <w:pPr>
        <w:numPr>
          <w:ilvl w:val="0"/>
          <w:numId w:val="1"/>
        </w:numPr>
        <w:spacing w:after="240" w:line="240" w:lineRule="auto"/>
        <w:jc w:val="both"/>
        <w:rPr>
          <w:rFonts w:ascii="Times New Roman" w:hAnsi="Times New Roman"/>
          <w14:ligatures w14:val="none"/>
        </w:rPr>
      </w:pPr>
      <w:r w:rsidRPr="00E2486C">
        <w:rPr>
          <w:rFonts w:ascii="Times New Roman" w:hAnsi="Times New Roman"/>
          <w14:ligatures w14:val="none"/>
        </w:rPr>
        <w:t xml:space="preserve">Le tableau ci-dessous résume les actions et mesures importantes requises, le fondement de l’exigence, l’échéance de mise en œuvre de la mesure ou de l’action et les indicateurs pour déterminer si la mesure ou l’action requise a été réalisée avec succès. </w:t>
      </w:r>
      <w:r w:rsidRPr="00144CE7">
        <w:rPr>
          <w:rFonts w:ascii="Times New Roman" w:hAnsi="Times New Roman"/>
          <w14:ligatures w14:val="none"/>
        </w:rPr>
        <w:t xml:space="preserve">Le gouvernement de la République de Guinée équatoriale </w:t>
      </w:r>
      <w:r w:rsidRPr="00E2486C">
        <w:rPr>
          <w:rFonts w:ascii="Times New Roman" w:hAnsi="Times New Roman"/>
          <w14:ligatures w14:val="none"/>
        </w:rPr>
        <w:t xml:space="preserve">est responsable du respect de toutes les exigences du PGES, même lorsque la mise en œuvre de mesures et d’actions spécifiques est effectuée par une entité différente de l’Unité de Gestion du Projet (UGP). </w:t>
      </w:r>
    </w:p>
    <w:p w14:paraId="30E0C7BD" w14:textId="4FB0C09D" w:rsidR="00144CE7" w:rsidRPr="00E2486C" w:rsidRDefault="00144CE7" w:rsidP="00144CE7">
      <w:pPr>
        <w:numPr>
          <w:ilvl w:val="0"/>
          <w:numId w:val="1"/>
        </w:numPr>
        <w:spacing w:after="240" w:line="240" w:lineRule="auto"/>
        <w:jc w:val="both"/>
        <w:rPr>
          <w:rFonts w:ascii="Times New Roman" w:hAnsi="Times New Roman"/>
          <w14:ligatures w14:val="none"/>
        </w:rPr>
      </w:pPr>
      <w:r w:rsidRPr="00E2486C">
        <w:rPr>
          <w:rFonts w:ascii="Times New Roman" w:hAnsi="Times New Roman"/>
          <w14:ligatures w14:val="none"/>
        </w:rPr>
        <w:lastRenderedPageBreak/>
        <w:t xml:space="preserve">La mise en œuvre des mesures et actions énoncées dans le présent PGES fera l’objet d’un suivi et d’un rapport à la Banque par </w:t>
      </w:r>
      <w:r>
        <w:rPr>
          <w:rFonts w:ascii="Times New Roman" w:hAnsi="Times New Roman"/>
          <w14:ligatures w14:val="none"/>
        </w:rPr>
        <w:t>l</w:t>
      </w:r>
      <w:r w:rsidRPr="00144CE7">
        <w:rPr>
          <w:rFonts w:ascii="Times New Roman" w:hAnsi="Times New Roman"/>
          <w14:ligatures w14:val="none"/>
        </w:rPr>
        <w:t>e gouvernement de la République de Guinée équatoriale</w:t>
      </w:r>
      <w:r w:rsidRPr="00E2486C">
        <w:rPr>
          <w:rFonts w:ascii="Times New Roman" w:hAnsi="Times New Roman"/>
          <w14:ligatures w14:val="none"/>
        </w:rPr>
        <w:t xml:space="preserve">, tel que requis par le PGES et les conditions de l’accord juridique, et la Banque suivra et évaluera les progrès et la réalisation des mesures et des actions tout au long de la mise en œuvre du Projet. </w:t>
      </w:r>
    </w:p>
    <w:p w14:paraId="3A5B6870" w14:textId="0989CFB1" w:rsidR="00144CE7" w:rsidRPr="00E2486C" w:rsidRDefault="00144CE7" w:rsidP="00144CE7">
      <w:pPr>
        <w:numPr>
          <w:ilvl w:val="0"/>
          <w:numId w:val="1"/>
        </w:numPr>
        <w:spacing w:after="240" w:line="240" w:lineRule="auto"/>
        <w:jc w:val="both"/>
        <w:rPr>
          <w:rFonts w:ascii="Times New Roman" w:hAnsi="Times New Roman"/>
          <w14:ligatures w14:val="none"/>
        </w:rPr>
      </w:pPr>
      <w:r w:rsidRPr="00E2486C">
        <w:rPr>
          <w:rFonts w:ascii="Times New Roman" w:hAnsi="Times New Roman"/>
          <w14:ligatures w14:val="none"/>
        </w:rPr>
        <w:t xml:space="preserve">Comme convenu entre la Banque et </w:t>
      </w:r>
      <w:r>
        <w:rPr>
          <w:rFonts w:ascii="Times New Roman" w:hAnsi="Times New Roman"/>
          <w14:ligatures w14:val="none"/>
        </w:rPr>
        <w:t>l</w:t>
      </w:r>
      <w:r w:rsidRPr="00144CE7">
        <w:rPr>
          <w:rFonts w:ascii="Times New Roman" w:hAnsi="Times New Roman"/>
          <w14:ligatures w14:val="none"/>
        </w:rPr>
        <w:t>e gouvernement de la République de Guinée équatoriale</w:t>
      </w:r>
      <w:r w:rsidRPr="00E2486C">
        <w:rPr>
          <w:rFonts w:ascii="Times New Roman" w:hAnsi="Times New Roman"/>
          <w14:ligatures w14:val="none"/>
        </w:rPr>
        <w:t xml:space="preserve">, ce PGES peut être révisé en cas de nécessité au cours de la mise en œuvre du Projet, afin de refléter la gestion adaptative des risques liés aux changements apportés au projet, à des circonstances imprévues ou en réponse à l’évaluation de la performance du projet menée dans le cadre du PGES lui-même. Dans de telles circonstances, </w:t>
      </w:r>
      <w:r>
        <w:rPr>
          <w:rFonts w:ascii="Times New Roman" w:hAnsi="Times New Roman"/>
          <w14:ligatures w14:val="none"/>
        </w:rPr>
        <w:t>l</w:t>
      </w:r>
      <w:r w:rsidRPr="00144CE7">
        <w:rPr>
          <w:rFonts w:ascii="Times New Roman" w:hAnsi="Times New Roman"/>
          <w14:ligatures w14:val="none"/>
        </w:rPr>
        <w:t xml:space="preserve">e gouvernement de la République de Guinée équatoriale </w:t>
      </w:r>
      <w:r w:rsidRPr="00E2486C">
        <w:rPr>
          <w:rFonts w:ascii="Times New Roman" w:hAnsi="Times New Roman"/>
          <w14:ligatures w14:val="none"/>
        </w:rPr>
        <w:t>proposera et conviendra des modifications avec la Banque, puis mettra à jour le PGES pour refléter ces changements.</w:t>
      </w:r>
    </w:p>
    <w:tbl>
      <w:tblPr>
        <w:tblStyle w:val="Grilledutableau"/>
        <w:tblW w:w="14125" w:type="dxa"/>
        <w:tblInd w:w="-635" w:type="dxa"/>
        <w:tblLayout w:type="fixed"/>
        <w:tblLook w:val="04A0" w:firstRow="1" w:lastRow="0" w:firstColumn="1" w:lastColumn="0" w:noHBand="0" w:noVBand="1"/>
      </w:tblPr>
      <w:tblGrid>
        <w:gridCol w:w="625"/>
        <w:gridCol w:w="6120"/>
        <w:gridCol w:w="2970"/>
        <w:gridCol w:w="2160"/>
        <w:gridCol w:w="2250"/>
      </w:tblGrid>
      <w:tr w:rsidR="00144CE7" w:rsidRPr="00E2486C" w14:paraId="70810E4F" w14:textId="77777777" w:rsidTr="00A125CB">
        <w:trPr>
          <w:trHeight w:val="405"/>
        </w:trPr>
        <w:tc>
          <w:tcPr>
            <w:tcW w:w="6745" w:type="dxa"/>
            <w:gridSpan w:val="2"/>
            <w:tcBorders>
              <w:top w:val="single" w:sz="18" w:space="0" w:color="auto"/>
            </w:tcBorders>
          </w:tcPr>
          <w:bookmarkEnd w:id="0"/>
          <w:p w14:paraId="5FC2752A" w14:textId="77777777" w:rsidR="00144CE7" w:rsidRPr="00E2486C" w:rsidRDefault="00144CE7" w:rsidP="00A125CB">
            <w:pPr>
              <w:jc w:val="center"/>
              <w:rPr>
                <w:rFonts w:ascii="Times New Roman" w:hAnsi="Times New Roman" w:cs="Times New Roman"/>
                <w:b/>
                <w:i/>
                <w:noProof/>
                <w:sz w:val="20"/>
                <w:szCs w:val="20"/>
                <w:lang w:val="fr-FR"/>
              </w:rPr>
            </w:pPr>
            <w:r w:rsidRPr="00E2486C">
              <w:rPr>
                <w:rFonts w:ascii="Times New Roman" w:hAnsi="Times New Roman" w:cs="Times New Roman"/>
                <w:b/>
                <w:i/>
                <w:noProof/>
                <w:sz w:val="20"/>
                <w:szCs w:val="20"/>
                <w:lang w:val="fr-FR"/>
              </w:rPr>
              <w:t>Actions</w:t>
            </w:r>
            <w:r w:rsidRPr="00E2486C">
              <w:rPr>
                <w:rFonts w:ascii="Times New Roman" w:hAnsi="Times New Roman" w:cs="Times New Roman"/>
                <w:b/>
                <w:i/>
                <w:noProof/>
                <w:color w:val="FF0000"/>
                <w:sz w:val="20"/>
                <w:szCs w:val="20"/>
                <w:vertAlign w:val="superscript"/>
              </w:rPr>
              <w:footnoteReference w:id="2"/>
            </w:r>
            <w:r w:rsidRPr="00E2486C">
              <w:rPr>
                <w:rFonts w:ascii="Times New Roman" w:hAnsi="Times New Roman" w:cs="Times New Roman"/>
                <w:b/>
                <w:i/>
                <w:noProof/>
                <w:sz w:val="20"/>
                <w:szCs w:val="20"/>
                <w:lang w:val="fr-FR"/>
              </w:rPr>
              <w:t xml:space="preserve"> importantes pour gérer les risques et les impacts E&amp;S du projet</w:t>
            </w:r>
          </w:p>
        </w:tc>
        <w:tc>
          <w:tcPr>
            <w:tcW w:w="2970" w:type="dxa"/>
            <w:tcBorders>
              <w:top w:val="single" w:sz="18" w:space="0" w:color="auto"/>
            </w:tcBorders>
          </w:tcPr>
          <w:p w14:paraId="4215BC5A" w14:textId="77777777" w:rsidR="00144CE7" w:rsidRPr="00E2486C" w:rsidRDefault="00144CE7" w:rsidP="00A125CB">
            <w:pPr>
              <w:jc w:val="center"/>
              <w:rPr>
                <w:rFonts w:ascii="Times New Roman" w:hAnsi="Times New Roman" w:cs="Times New Roman"/>
                <w:b/>
                <w:i/>
                <w:noProof/>
                <w:sz w:val="20"/>
                <w:szCs w:val="20"/>
              </w:rPr>
            </w:pPr>
            <w:r w:rsidRPr="00E2486C">
              <w:rPr>
                <w:rFonts w:ascii="Times New Roman" w:hAnsi="Times New Roman" w:cs="Times New Roman"/>
                <w:b/>
                <w:i/>
                <w:noProof/>
                <w:sz w:val="20"/>
                <w:szCs w:val="20"/>
              </w:rPr>
              <w:t>Fondement de l’exigence</w:t>
            </w:r>
          </w:p>
        </w:tc>
        <w:tc>
          <w:tcPr>
            <w:tcW w:w="2160" w:type="dxa"/>
            <w:tcBorders>
              <w:top w:val="single" w:sz="18" w:space="0" w:color="auto"/>
            </w:tcBorders>
          </w:tcPr>
          <w:p w14:paraId="56E79858" w14:textId="77777777" w:rsidR="00144CE7" w:rsidRPr="00E2486C" w:rsidRDefault="00144CE7" w:rsidP="00A125CB">
            <w:pPr>
              <w:jc w:val="center"/>
              <w:rPr>
                <w:rFonts w:ascii="Times New Roman" w:hAnsi="Times New Roman" w:cs="Times New Roman"/>
                <w:b/>
                <w:i/>
                <w:noProof/>
                <w:sz w:val="20"/>
                <w:szCs w:val="20"/>
              </w:rPr>
            </w:pPr>
            <w:r w:rsidRPr="00E2486C">
              <w:rPr>
                <w:rFonts w:ascii="Times New Roman" w:hAnsi="Times New Roman" w:cs="Times New Roman"/>
                <w:b/>
                <w:i/>
                <w:noProof/>
                <w:sz w:val="20"/>
                <w:szCs w:val="20"/>
              </w:rPr>
              <w:t>Indicateur clé de performance</w:t>
            </w:r>
          </w:p>
        </w:tc>
        <w:tc>
          <w:tcPr>
            <w:tcW w:w="2250" w:type="dxa"/>
            <w:tcBorders>
              <w:top w:val="single" w:sz="18" w:space="0" w:color="auto"/>
            </w:tcBorders>
          </w:tcPr>
          <w:p w14:paraId="0DCC4508" w14:textId="77777777" w:rsidR="00144CE7" w:rsidRPr="00E2486C" w:rsidRDefault="00144CE7" w:rsidP="00A125CB">
            <w:pPr>
              <w:jc w:val="center"/>
              <w:rPr>
                <w:rFonts w:ascii="Times New Roman" w:hAnsi="Times New Roman" w:cs="Times New Roman"/>
                <w:b/>
                <w:i/>
                <w:noProof/>
                <w:sz w:val="20"/>
                <w:szCs w:val="20"/>
                <w:lang w:val="fr-FR"/>
              </w:rPr>
            </w:pPr>
            <w:r w:rsidRPr="00E2486C">
              <w:rPr>
                <w:rFonts w:ascii="Times New Roman" w:hAnsi="Times New Roman" w:cs="Times New Roman"/>
                <w:b/>
                <w:i/>
                <w:noProof/>
                <w:sz w:val="20"/>
                <w:szCs w:val="20"/>
                <w:lang w:val="fr-FR"/>
              </w:rPr>
              <w:t xml:space="preserve">Echéance de mise en œuvre </w:t>
            </w:r>
          </w:p>
        </w:tc>
      </w:tr>
      <w:tr w:rsidR="00144CE7" w:rsidRPr="00E2486C" w14:paraId="4B44EC1A" w14:textId="77777777" w:rsidTr="00A125CB">
        <w:trPr>
          <w:trHeight w:val="297"/>
        </w:trPr>
        <w:tc>
          <w:tcPr>
            <w:tcW w:w="6745" w:type="dxa"/>
            <w:gridSpan w:val="2"/>
            <w:tcBorders>
              <w:top w:val="single" w:sz="18" w:space="0" w:color="auto"/>
            </w:tcBorders>
          </w:tcPr>
          <w:p w14:paraId="220ED4B4" w14:textId="77777777" w:rsidR="00144CE7" w:rsidRPr="00E2486C" w:rsidRDefault="00144CE7" w:rsidP="00A125CB">
            <w:pPr>
              <w:jc w:val="both"/>
              <w:rPr>
                <w:rFonts w:ascii="Times New Roman" w:hAnsi="Times New Roman" w:cs="Times New Roman"/>
                <w:bCs/>
                <w:iCs/>
                <w:noProof/>
                <w:sz w:val="20"/>
                <w:szCs w:val="20"/>
                <w:lang w:val="fr-FR"/>
              </w:rPr>
            </w:pPr>
            <w:r w:rsidRPr="00E2486C">
              <w:rPr>
                <w:rFonts w:ascii="Times New Roman" w:hAnsi="Times New Roman" w:cs="Times New Roman"/>
                <w:bCs/>
                <w:iCs/>
                <w:noProof/>
                <w:sz w:val="20"/>
                <w:szCs w:val="20"/>
                <w:lang w:val="fr-FR"/>
              </w:rPr>
              <w:t xml:space="preserve">Rapport </w:t>
            </w:r>
            <w:r w:rsidRPr="005D2D86">
              <w:rPr>
                <w:rFonts w:ascii="Times New Roman" w:hAnsi="Times New Roman" w:cs="Times New Roman"/>
                <w:bCs/>
                <w:iCs/>
                <w:noProof/>
                <w:sz w:val="20"/>
                <w:szCs w:val="20"/>
                <w:lang w:val="fr-FR"/>
              </w:rPr>
              <w:t xml:space="preserve">trimestriel </w:t>
            </w:r>
            <w:r w:rsidRPr="00E2486C">
              <w:rPr>
                <w:rFonts w:ascii="Times New Roman" w:hAnsi="Times New Roman" w:cs="Times New Roman"/>
                <w:bCs/>
                <w:iCs/>
                <w:noProof/>
                <w:sz w:val="20"/>
                <w:szCs w:val="20"/>
                <w:lang w:val="fr-FR"/>
              </w:rPr>
              <w:t>sur la mise en œuvre des mesures E&amp;S à la Banque</w:t>
            </w:r>
          </w:p>
        </w:tc>
        <w:tc>
          <w:tcPr>
            <w:tcW w:w="2970" w:type="dxa"/>
            <w:tcBorders>
              <w:top w:val="single" w:sz="18" w:space="0" w:color="auto"/>
            </w:tcBorders>
          </w:tcPr>
          <w:p w14:paraId="2E02B55D" w14:textId="77777777" w:rsidR="00144CE7" w:rsidRPr="00E2486C" w:rsidRDefault="00144CE7" w:rsidP="00A125CB">
            <w:pPr>
              <w:jc w:val="center"/>
              <w:rPr>
                <w:rFonts w:ascii="Times New Roman" w:hAnsi="Times New Roman" w:cs="Times New Roman"/>
                <w:bCs/>
                <w:iCs/>
                <w:noProof/>
                <w:sz w:val="20"/>
                <w:szCs w:val="20"/>
                <w:lang w:val="fr-FR"/>
              </w:rPr>
            </w:pPr>
            <w:r w:rsidRPr="00E2486C">
              <w:rPr>
                <w:rFonts w:ascii="Times New Roman" w:hAnsi="Times New Roman" w:cs="Times New Roman"/>
                <w:bCs/>
                <w:iCs/>
                <w:sz w:val="20"/>
                <w:szCs w:val="20"/>
                <w:lang w:val="fr-FR"/>
              </w:rPr>
              <w:t>PES de la Banque et SO1</w:t>
            </w:r>
          </w:p>
        </w:tc>
        <w:tc>
          <w:tcPr>
            <w:tcW w:w="2160" w:type="dxa"/>
            <w:tcBorders>
              <w:top w:val="single" w:sz="18" w:space="0" w:color="auto"/>
            </w:tcBorders>
          </w:tcPr>
          <w:p w14:paraId="38F47E90" w14:textId="77777777" w:rsidR="00144CE7" w:rsidRPr="00E2486C" w:rsidRDefault="00144CE7" w:rsidP="00A125CB">
            <w:pPr>
              <w:jc w:val="center"/>
              <w:rPr>
                <w:rFonts w:ascii="Times New Roman" w:hAnsi="Times New Roman" w:cs="Times New Roman"/>
                <w:bCs/>
                <w:iCs/>
                <w:noProof/>
                <w:sz w:val="20"/>
                <w:szCs w:val="20"/>
                <w:lang w:val="fr-FR"/>
              </w:rPr>
            </w:pPr>
            <w:r w:rsidRPr="00E2486C">
              <w:rPr>
                <w:rFonts w:ascii="Times New Roman" w:hAnsi="Times New Roman" w:cs="Times New Roman"/>
                <w:bCs/>
                <w:iCs/>
                <w:noProof/>
                <w:sz w:val="20"/>
                <w:szCs w:val="20"/>
                <w:lang w:val="fr-FR"/>
              </w:rPr>
              <w:t xml:space="preserve">Rapports de bonne qualité soumis à temps, </w:t>
            </w:r>
          </w:p>
        </w:tc>
        <w:tc>
          <w:tcPr>
            <w:tcW w:w="2250" w:type="dxa"/>
            <w:tcBorders>
              <w:top w:val="single" w:sz="18" w:space="0" w:color="auto"/>
            </w:tcBorders>
          </w:tcPr>
          <w:p w14:paraId="16A8229F" w14:textId="77777777" w:rsidR="00144CE7" w:rsidRPr="00E2486C" w:rsidRDefault="00144CE7" w:rsidP="00A125CB">
            <w:pPr>
              <w:jc w:val="center"/>
              <w:rPr>
                <w:rFonts w:ascii="Times New Roman" w:hAnsi="Times New Roman" w:cs="Times New Roman"/>
                <w:bCs/>
                <w:iCs/>
                <w:noProof/>
                <w:sz w:val="20"/>
                <w:szCs w:val="20"/>
                <w:lang w:val="fr-FR"/>
              </w:rPr>
            </w:pPr>
            <w:r w:rsidRPr="00E2486C">
              <w:rPr>
                <w:rFonts w:ascii="Times New Roman" w:hAnsi="Times New Roman" w:cs="Times New Roman"/>
                <w:bCs/>
                <w:iCs/>
                <w:noProof/>
                <w:sz w:val="20"/>
                <w:szCs w:val="20"/>
                <w:lang w:val="fr-FR"/>
              </w:rPr>
              <w:t xml:space="preserve">02 semaines au plus tard après la fin </w:t>
            </w:r>
            <w:r w:rsidRPr="005D2D86">
              <w:rPr>
                <w:rFonts w:ascii="Times New Roman" w:hAnsi="Times New Roman" w:cs="Times New Roman"/>
                <w:bCs/>
                <w:iCs/>
                <w:noProof/>
                <w:sz w:val="20"/>
                <w:szCs w:val="20"/>
                <w:lang w:val="fr-FR"/>
              </w:rPr>
              <w:t>du trimestre concerné</w:t>
            </w:r>
          </w:p>
        </w:tc>
      </w:tr>
      <w:tr w:rsidR="00144CE7" w:rsidRPr="00E2486C" w14:paraId="4249B75C" w14:textId="77777777" w:rsidTr="00A125CB">
        <w:tc>
          <w:tcPr>
            <w:tcW w:w="625" w:type="dxa"/>
          </w:tcPr>
          <w:p w14:paraId="2E228015"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w:t>
            </w:r>
          </w:p>
        </w:tc>
        <w:tc>
          <w:tcPr>
            <w:tcW w:w="6120" w:type="dxa"/>
          </w:tcPr>
          <w:p w14:paraId="7C9868E9"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Recrutement de spécialistes E et S au sein de l’Unité de Gestion du Projet</w:t>
            </w:r>
          </w:p>
        </w:tc>
        <w:tc>
          <w:tcPr>
            <w:tcW w:w="2970" w:type="dxa"/>
          </w:tcPr>
          <w:p w14:paraId="7DFDB730" w14:textId="77777777" w:rsidR="00144CE7" w:rsidRPr="00E2486C" w:rsidRDefault="00144CE7" w:rsidP="00A125CB">
            <w:pPr>
              <w:jc w:val="center"/>
              <w:rPr>
                <w:rFonts w:ascii="Times New Roman" w:hAnsi="Times New Roman" w:cs="Times New Roman"/>
                <w:bCs/>
                <w:iCs/>
                <w:noProof/>
                <w:sz w:val="20"/>
                <w:szCs w:val="20"/>
              </w:rPr>
            </w:pPr>
            <w:r w:rsidRPr="00E2486C">
              <w:rPr>
                <w:rFonts w:ascii="Times New Roman" w:hAnsi="Times New Roman" w:cs="Times New Roman"/>
                <w:bCs/>
                <w:iCs/>
                <w:noProof/>
                <w:sz w:val="20"/>
                <w:szCs w:val="20"/>
              </w:rPr>
              <w:t>EIES publiées, SO1</w:t>
            </w:r>
          </w:p>
        </w:tc>
        <w:tc>
          <w:tcPr>
            <w:tcW w:w="2160" w:type="dxa"/>
          </w:tcPr>
          <w:p w14:paraId="0969B915" w14:textId="77777777" w:rsidR="00144CE7" w:rsidRPr="00E2486C" w:rsidRDefault="00144CE7" w:rsidP="00A125CB">
            <w:pPr>
              <w:tabs>
                <w:tab w:val="left" w:pos="0"/>
              </w:tabs>
              <w:jc w:val="center"/>
              <w:rPr>
                <w:rFonts w:ascii="Times New Roman" w:hAnsi="Times New Roman" w:cs="Times New Roman"/>
                <w:bCs/>
                <w:iCs/>
                <w:noProof/>
                <w:sz w:val="20"/>
                <w:szCs w:val="20"/>
                <w:lang w:val="fr-FR"/>
              </w:rPr>
            </w:pPr>
            <w:r w:rsidRPr="00E2486C">
              <w:rPr>
                <w:rFonts w:ascii="Times New Roman" w:hAnsi="Times New Roman" w:cs="Times New Roman"/>
                <w:bCs/>
                <w:iCs/>
                <w:noProof/>
                <w:sz w:val="20"/>
                <w:szCs w:val="20"/>
                <w:lang w:val="fr-FR"/>
              </w:rPr>
              <w:t>Spécialistes E et S chevronnés dans l’UGP</w:t>
            </w:r>
          </w:p>
        </w:tc>
        <w:tc>
          <w:tcPr>
            <w:tcW w:w="2250" w:type="dxa"/>
          </w:tcPr>
          <w:p w14:paraId="37EE0BDC"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Au plus tard la date de mise en vigueur</w:t>
            </w:r>
          </w:p>
        </w:tc>
      </w:tr>
      <w:tr w:rsidR="00144CE7" w:rsidRPr="00E2486C" w14:paraId="482B5D6A" w14:textId="77777777" w:rsidTr="00A125CB">
        <w:tc>
          <w:tcPr>
            <w:tcW w:w="625" w:type="dxa"/>
          </w:tcPr>
          <w:p w14:paraId="210C265B" w14:textId="77777777" w:rsidR="00144CE7" w:rsidRPr="00E2486C" w:rsidRDefault="00144CE7" w:rsidP="00A125CB">
            <w:pPr>
              <w:jc w:val="center"/>
              <w:rPr>
                <w:rFonts w:ascii="Times New Roman" w:hAnsi="Times New Roman" w:cs="Times New Roman"/>
                <w:noProof/>
                <w:sz w:val="20"/>
                <w:szCs w:val="20"/>
                <w:lang w:val="fr-FR"/>
              </w:rPr>
            </w:pPr>
          </w:p>
          <w:p w14:paraId="6A28340B"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2</w:t>
            </w:r>
          </w:p>
        </w:tc>
        <w:tc>
          <w:tcPr>
            <w:tcW w:w="6120" w:type="dxa"/>
          </w:tcPr>
          <w:p w14:paraId="236172AC"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Mise en place du Mécanisme de Gestion des Plaintes (MGP) du projet et information au public</w:t>
            </w:r>
          </w:p>
        </w:tc>
        <w:tc>
          <w:tcPr>
            <w:tcW w:w="2970" w:type="dxa"/>
          </w:tcPr>
          <w:p w14:paraId="6C7900CE" w14:textId="77777777" w:rsidR="00144CE7" w:rsidRPr="00E2486C" w:rsidRDefault="00144CE7" w:rsidP="00A125CB">
            <w:pPr>
              <w:jc w:val="center"/>
              <w:rPr>
                <w:rFonts w:ascii="Times New Roman" w:hAnsi="Times New Roman" w:cs="Times New Roman"/>
                <w:bCs/>
                <w:iCs/>
                <w:noProof/>
                <w:sz w:val="20"/>
                <w:szCs w:val="20"/>
                <w:lang w:val="fr-FR"/>
              </w:rPr>
            </w:pPr>
            <w:r w:rsidRPr="00E2486C">
              <w:rPr>
                <w:rFonts w:ascii="Times New Roman" w:hAnsi="Times New Roman" w:cs="Times New Roman"/>
                <w:bCs/>
                <w:iCs/>
                <w:noProof/>
                <w:sz w:val="20"/>
                <w:szCs w:val="20"/>
                <w:lang w:val="fr-FR"/>
              </w:rPr>
              <w:t>SO1, SO10 et exigences nationales</w:t>
            </w:r>
          </w:p>
        </w:tc>
        <w:tc>
          <w:tcPr>
            <w:tcW w:w="2160" w:type="dxa"/>
          </w:tcPr>
          <w:p w14:paraId="7920D43F" w14:textId="77777777" w:rsidR="00144CE7" w:rsidRPr="00E2486C" w:rsidRDefault="00144CE7" w:rsidP="00A125CB">
            <w:pPr>
              <w:tabs>
                <w:tab w:val="left" w:pos="0"/>
              </w:tabs>
              <w:jc w:val="center"/>
              <w:rPr>
                <w:rFonts w:ascii="Times New Roman" w:hAnsi="Times New Roman" w:cs="Times New Roman"/>
                <w:bCs/>
                <w:iCs/>
                <w:noProof/>
                <w:sz w:val="20"/>
                <w:szCs w:val="20"/>
                <w:lang w:val="fr-FR"/>
              </w:rPr>
            </w:pPr>
            <w:r w:rsidRPr="005D2D86">
              <w:rPr>
                <w:rFonts w:ascii="Times New Roman" w:hAnsi="Times New Roman" w:cs="Times New Roman"/>
                <w:bCs/>
                <w:iCs/>
                <w:noProof/>
                <w:sz w:val="20"/>
                <w:szCs w:val="20"/>
                <w:lang w:val="fr-FR"/>
              </w:rPr>
              <w:t>Un MGP élaboré dans le cadre de la mise en œuvre du projet</w:t>
            </w:r>
          </w:p>
        </w:tc>
        <w:tc>
          <w:tcPr>
            <w:tcW w:w="2250" w:type="dxa"/>
          </w:tcPr>
          <w:p w14:paraId="7B7B6700"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Avant le démarrage des activités du projet en particulier l’indemnisation des PAP</w:t>
            </w:r>
          </w:p>
        </w:tc>
      </w:tr>
      <w:tr w:rsidR="00144CE7" w:rsidRPr="00E2486C" w14:paraId="72AAE6CF" w14:textId="77777777" w:rsidTr="00A125CB">
        <w:tc>
          <w:tcPr>
            <w:tcW w:w="625" w:type="dxa"/>
          </w:tcPr>
          <w:p w14:paraId="42AB936F"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3</w:t>
            </w:r>
          </w:p>
        </w:tc>
        <w:tc>
          <w:tcPr>
            <w:tcW w:w="6120" w:type="dxa"/>
          </w:tcPr>
          <w:p w14:paraId="4B43E0B1"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Paiement des compensations et réinstallation des personnes affectées</w:t>
            </w:r>
          </w:p>
        </w:tc>
        <w:tc>
          <w:tcPr>
            <w:tcW w:w="2970" w:type="dxa"/>
          </w:tcPr>
          <w:p w14:paraId="060FB834"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SO5</w:t>
            </w:r>
          </w:p>
        </w:tc>
        <w:tc>
          <w:tcPr>
            <w:tcW w:w="2160" w:type="dxa"/>
          </w:tcPr>
          <w:p w14:paraId="241A4476"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Preuve de compensation des PAP</w:t>
            </w:r>
          </w:p>
        </w:tc>
        <w:tc>
          <w:tcPr>
            <w:tcW w:w="2250" w:type="dxa"/>
          </w:tcPr>
          <w:p w14:paraId="1EC124BB"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Avant le démarrage des travaux</w:t>
            </w:r>
          </w:p>
        </w:tc>
      </w:tr>
      <w:tr w:rsidR="00144CE7" w:rsidRPr="00E2486C" w14:paraId="0C0EB33C" w14:textId="77777777" w:rsidTr="00A125CB">
        <w:tc>
          <w:tcPr>
            <w:tcW w:w="625" w:type="dxa"/>
          </w:tcPr>
          <w:p w14:paraId="21657AFA"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4</w:t>
            </w:r>
          </w:p>
        </w:tc>
        <w:tc>
          <w:tcPr>
            <w:tcW w:w="6120" w:type="dxa"/>
          </w:tcPr>
          <w:p w14:paraId="4D2B9253"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Intégration de mesures ESST spécifiques de site dans les DAO</w:t>
            </w:r>
          </w:p>
        </w:tc>
        <w:tc>
          <w:tcPr>
            <w:tcW w:w="2970" w:type="dxa"/>
          </w:tcPr>
          <w:p w14:paraId="1B995B43"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sz w:val="20"/>
                <w:szCs w:val="20"/>
              </w:rPr>
              <w:t xml:space="preserve">SO1 et exigences </w:t>
            </w:r>
            <w:proofErr w:type="spellStart"/>
            <w:r w:rsidRPr="00E2486C">
              <w:rPr>
                <w:rFonts w:ascii="Times New Roman" w:hAnsi="Times New Roman" w:cs="Times New Roman"/>
                <w:sz w:val="20"/>
                <w:szCs w:val="20"/>
              </w:rPr>
              <w:t>nationales</w:t>
            </w:r>
            <w:proofErr w:type="spellEnd"/>
          </w:p>
        </w:tc>
        <w:tc>
          <w:tcPr>
            <w:tcW w:w="2160" w:type="dxa"/>
          </w:tcPr>
          <w:p w14:paraId="654EDC66"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Les clauses E&amp;S sont inclues dans les DAO</w:t>
            </w:r>
          </w:p>
        </w:tc>
        <w:tc>
          <w:tcPr>
            <w:tcW w:w="2250" w:type="dxa"/>
          </w:tcPr>
          <w:p w14:paraId="1D6A24B3"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Avant la publication des DAO</w:t>
            </w:r>
          </w:p>
        </w:tc>
      </w:tr>
      <w:tr w:rsidR="00144CE7" w:rsidRPr="00E2486C" w14:paraId="0485919E" w14:textId="77777777" w:rsidTr="00A125CB">
        <w:tc>
          <w:tcPr>
            <w:tcW w:w="625" w:type="dxa"/>
          </w:tcPr>
          <w:p w14:paraId="2AFEADDC" w14:textId="77777777" w:rsidR="00144CE7" w:rsidRPr="00E2486C" w:rsidRDefault="00144CE7" w:rsidP="00A125CB">
            <w:pPr>
              <w:jc w:val="center"/>
              <w:rPr>
                <w:rFonts w:ascii="Times New Roman" w:hAnsi="Times New Roman" w:cs="Times New Roman"/>
                <w:noProof/>
                <w:sz w:val="20"/>
                <w:szCs w:val="20"/>
                <w:lang w:val="fr-FR"/>
              </w:rPr>
            </w:pPr>
          </w:p>
          <w:p w14:paraId="07609915"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5</w:t>
            </w:r>
          </w:p>
        </w:tc>
        <w:tc>
          <w:tcPr>
            <w:tcW w:w="6120" w:type="dxa"/>
          </w:tcPr>
          <w:p w14:paraId="1FDD6B09"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Soumission du PGES-Chantier (PGES-C) sur les activités à haut-risque de l’entrepreneur à la revue de la Banque</w:t>
            </w:r>
          </w:p>
        </w:tc>
        <w:tc>
          <w:tcPr>
            <w:tcW w:w="2970" w:type="dxa"/>
          </w:tcPr>
          <w:p w14:paraId="0C5FF8C9"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PES de la Banque et SO1</w:t>
            </w:r>
          </w:p>
        </w:tc>
        <w:tc>
          <w:tcPr>
            <w:tcW w:w="2160" w:type="dxa"/>
          </w:tcPr>
          <w:p w14:paraId="58D7F98E"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NA</w:t>
            </w:r>
          </w:p>
        </w:tc>
        <w:tc>
          <w:tcPr>
            <w:tcW w:w="2250" w:type="dxa"/>
          </w:tcPr>
          <w:p w14:paraId="708DA1D0"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NA</w:t>
            </w:r>
          </w:p>
        </w:tc>
      </w:tr>
      <w:tr w:rsidR="00144CE7" w:rsidRPr="00E2486C" w14:paraId="1A3C286D" w14:textId="77777777" w:rsidTr="00A125CB">
        <w:tc>
          <w:tcPr>
            <w:tcW w:w="625" w:type="dxa"/>
          </w:tcPr>
          <w:p w14:paraId="133000FD" w14:textId="77777777" w:rsidR="00144CE7" w:rsidRPr="00E2486C" w:rsidRDefault="00144CE7" w:rsidP="00A125CB">
            <w:pPr>
              <w:jc w:val="center"/>
              <w:rPr>
                <w:rFonts w:ascii="Times New Roman" w:hAnsi="Times New Roman" w:cs="Times New Roman"/>
                <w:noProof/>
                <w:sz w:val="20"/>
                <w:szCs w:val="20"/>
                <w:lang w:val="fr-FR"/>
              </w:rPr>
            </w:pPr>
          </w:p>
          <w:p w14:paraId="33A2B24B"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6</w:t>
            </w:r>
          </w:p>
        </w:tc>
        <w:tc>
          <w:tcPr>
            <w:tcW w:w="6120" w:type="dxa"/>
          </w:tcPr>
          <w:p w14:paraId="039EAC8F"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Mise en place du Mécanisme de Gestion des Plaintes de l’entrepreneur (MGP) et information des travailleurs</w:t>
            </w:r>
          </w:p>
        </w:tc>
        <w:tc>
          <w:tcPr>
            <w:tcW w:w="2970" w:type="dxa"/>
          </w:tcPr>
          <w:p w14:paraId="794E9E19"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SO1, SO2, SO10 et Politique de diffusion et d’accès à l’information de la Banque</w:t>
            </w:r>
          </w:p>
        </w:tc>
        <w:tc>
          <w:tcPr>
            <w:tcW w:w="2160" w:type="dxa"/>
          </w:tcPr>
          <w:p w14:paraId="58140F1B"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Existence du MGP de l’entrepreneur validé par l’emprunteur</w:t>
            </w:r>
          </w:p>
        </w:tc>
        <w:tc>
          <w:tcPr>
            <w:tcW w:w="2250" w:type="dxa"/>
          </w:tcPr>
          <w:p w14:paraId="1494598D"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Avant le processus de recrutement de la main d’oeuvre</w:t>
            </w:r>
          </w:p>
        </w:tc>
      </w:tr>
      <w:tr w:rsidR="00144CE7" w:rsidRPr="00E2486C" w14:paraId="1A335A66" w14:textId="77777777" w:rsidTr="00A125CB">
        <w:tc>
          <w:tcPr>
            <w:tcW w:w="625" w:type="dxa"/>
          </w:tcPr>
          <w:p w14:paraId="10E7ABE7" w14:textId="77777777" w:rsidR="00144CE7" w:rsidRPr="00E2486C" w:rsidRDefault="00144CE7" w:rsidP="00A125CB">
            <w:pPr>
              <w:jc w:val="center"/>
              <w:rPr>
                <w:rFonts w:ascii="Times New Roman" w:hAnsi="Times New Roman" w:cs="Times New Roman"/>
                <w:noProof/>
                <w:sz w:val="20"/>
                <w:szCs w:val="20"/>
                <w:lang w:val="fr-FR"/>
              </w:rPr>
            </w:pPr>
          </w:p>
          <w:p w14:paraId="22BA6947"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7</w:t>
            </w:r>
          </w:p>
        </w:tc>
        <w:tc>
          <w:tcPr>
            <w:tcW w:w="6120" w:type="dxa"/>
          </w:tcPr>
          <w:p w14:paraId="646590A6"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 xml:space="preserve">Obtention des permis nationaux avant le début des activités assujetties à autorisations préalables (excavations, abattage d’arbres, travail en hauteur, travail en espaces clos, etc.)  </w:t>
            </w:r>
          </w:p>
        </w:tc>
        <w:tc>
          <w:tcPr>
            <w:tcW w:w="2970" w:type="dxa"/>
          </w:tcPr>
          <w:p w14:paraId="276B1190"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SO1, SO2 et législation nationale du travail</w:t>
            </w:r>
          </w:p>
        </w:tc>
        <w:tc>
          <w:tcPr>
            <w:tcW w:w="2160" w:type="dxa"/>
          </w:tcPr>
          <w:p w14:paraId="518D924F"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Disponibilité des permis pour les activités assujetties à autorisation</w:t>
            </w:r>
          </w:p>
        </w:tc>
        <w:tc>
          <w:tcPr>
            <w:tcW w:w="2250" w:type="dxa"/>
          </w:tcPr>
          <w:p w14:paraId="3F32C81A"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Avant le démarrage des travaux</w:t>
            </w:r>
          </w:p>
        </w:tc>
      </w:tr>
      <w:tr w:rsidR="00144CE7" w:rsidRPr="00E2486C" w14:paraId="43FEFEB2" w14:textId="77777777" w:rsidTr="00A125CB">
        <w:tc>
          <w:tcPr>
            <w:tcW w:w="625" w:type="dxa"/>
          </w:tcPr>
          <w:p w14:paraId="3F1FC370" w14:textId="77777777" w:rsidR="00144CE7" w:rsidRPr="00E2486C" w:rsidRDefault="00144CE7" w:rsidP="00A125CB">
            <w:pPr>
              <w:jc w:val="center"/>
              <w:rPr>
                <w:rFonts w:ascii="Times New Roman" w:hAnsi="Times New Roman" w:cs="Times New Roman"/>
                <w:noProof/>
                <w:sz w:val="20"/>
                <w:szCs w:val="20"/>
                <w:lang w:val="fr-FR"/>
              </w:rPr>
            </w:pPr>
          </w:p>
          <w:p w14:paraId="409964FF"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8</w:t>
            </w:r>
          </w:p>
        </w:tc>
        <w:tc>
          <w:tcPr>
            <w:tcW w:w="6120" w:type="dxa"/>
          </w:tcPr>
          <w:p w14:paraId="57C46526"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 xml:space="preserve">Préparation, approbation et publication de documents E&amp;S spécifiques pendant la mise en œuvre du projet, y compris la revue préalable par la Banque des TDRs pour les activités de catégorie 1 </w:t>
            </w:r>
          </w:p>
        </w:tc>
        <w:tc>
          <w:tcPr>
            <w:tcW w:w="2970" w:type="dxa"/>
          </w:tcPr>
          <w:p w14:paraId="24694CD5"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PES de la Banque, SO1 et règlementation nationale</w:t>
            </w:r>
          </w:p>
        </w:tc>
        <w:tc>
          <w:tcPr>
            <w:tcW w:w="2160" w:type="dxa"/>
          </w:tcPr>
          <w:p w14:paraId="76B53BAD"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NA</w:t>
            </w:r>
          </w:p>
        </w:tc>
        <w:tc>
          <w:tcPr>
            <w:tcW w:w="2250" w:type="dxa"/>
          </w:tcPr>
          <w:p w14:paraId="21BF53CF"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NA</w:t>
            </w:r>
          </w:p>
        </w:tc>
      </w:tr>
      <w:tr w:rsidR="00144CE7" w:rsidRPr="00E2486C" w14:paraId="5E700404" w14:textId="77777777" w:rsidTr="00A125CB">
        <w:tc>
          <w:tcPr>
            <w:tcW w:w="625" w:type="dxa"/>
          </w:tcPr>
          <w:p w14:paraId="287DCBFB"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lastRenderedPageBreak/>
              <w:t>9</w:t>
            </w:r>
          </w:p>
        </w:tc>
        <w:tc>
          <w:tcPr>
            <w:tcW w:w="6120" w:type="dxa"/>
          </w:tcPr>
          <w:p w14:paraId="7D072370"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 xml:space="preserve">Mobilisation des parties prenantes concernées de chaque activité E&amp;S spécifique pertinente </w:t>
            </w:r>
          </w:p>
        </w:tc>
        <w:tc>
          <w:tcPr>
            <w:tcW w:w="2970" w:type="dxa"/>
          </w:tcPr>
          <w:p w14:paraId="15E775ED"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SO1, SO10, Politique de diffusion et d’accès à l’information</w:t>
            </w:r>
          </w:p>
        </w:tc>
        <w:tc>
          <w:tcPr>
            <w:tcW w:w="2160" w:type="dxa"/>
          </w:tcPr>
          <w:p w14:paraId="6BA3D0D9"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Les parties prenantes sont mobilisées pour chaque activité E&amp;S</w:t>
            </w:r>
          </w:p>
        </w:tc>
        <w:tc>
          <w:tcPr>
            <w:tcW w:w="2250" w:type="dxa"/>
          </w:tcPr>
          <w:p w14:paraId="0690072D"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Avant la mise en œuvre de l’activité</w:t>
            </w:r>
          </w:p>
        </w:tc>
      </w:tr>
      <w:tr w:rsidR="00144CE7" w:rsidRPr="00E2486C" w14:paraId="079537AF" w14:textId="77777777" w:rsidTr="00A125CB">
        <w:tc>
          <w:tcPr>
            <w:tcW w:w="625" w:type="dxa"/>
          </w:tcPr>
          <w:p w14:paraId="0A56EFEA"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10</w:t>
            </w:r>
          </w:p>
        </w:tc>
        <w:tc>
          <w:tcPr>
            <w:tcW w:w="6120" w:type="dxa"/>
          </w:tcPr>
          <w:p w14:paraId="443E8B0C"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 xml:space="preserve">Mise en place du mécanisme de préparation et de rispotes aux urgences </w:t>
            </w:r>
          </w:p>
        </w:tc>
        <w:tc>
          <w:tcPr>
            <w:tcW w:w="2970" w:type="dxa"/>
          </w:tcPr>
          <w:p w14:paraId="2E691730"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SO1 et SO4, règlementation nationale sur la gestion des catastrophes et protection civile</w:t>
            </w:r>
          </w:p>
        </w:tc>
        <w:tc>
          <w:tcPr>
            <w:tcW w:w="2160" w:type="dxa"/>
          </w:tcPr>
          <w:p w14:paraId="10AB5F63"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NA</w:t>
            </w:r>
          </w:p>
        </w:tc>
        <w:tc>
          <w:tcPr>
            <w:tcW w:w="2250" w:type="dxa"/>
          </w:tcPr>
          <w:p w14:paraId="19770F5E"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NA</w:t>
            </w:r>
          </w:p>
        </w:tc>
      </w:tr>
      <w:tr w:rsidR="00144CE7" w:rsidRPr="00E2486C" w14:paraId="2CDF661D" w14:textId="77777777" w:rsidTr="00A125CB">
        <w:tc>
          <w:tcPr>
            <w:tcW w:w="625" w:type="dxa"/>
          </w:tcPr>
          <w:p w14:paraId="0285E056"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11</w:t>
            </w:r>
          </w:p>
        </w:tc>
        <w:tc>
          <w:tcPr>
            <w:tcW w:w="6120" w:type="dxa"/>
          </w:tcPr>
          <w:p w14:paraId="64FBF9B7"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Traitement approprié et rapide des plaintes</w:t>
            </w:r>
          </w:p>
        </w:tc>
        <w:tc>
          <w:tcPr>
            <w:tcW w:w="2970" w:type="dxa"/>
          </w:tcPr>
          <w:p w14:paraId="31A7BD59"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PES de la Banque et SO1</w:t>
            </w:r>
          </w:p>
        </w:tc>
        <w:tc>
          <w:tcPr>
            <w:tcW w:w="2160" w:type="dxa"/>
          </w:tcPr>
          <w:p w14:paraId="0B17BDFA"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Les plaintes sur le projet sont traitées de façon appropriée</w:t>
            </w:r>
          </w:p>
        </w:tc>
        <w:tc>
          <w:tcPr>
            <w:tcW w:w="2250" w:type="dxa"/>
          </w:tcPr>
          <w:p w14:paraId="28DFCD9A"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Au plus tard 2 semaines après réception</w:t>
            </w:r>
          </w:p>
        </w:tc>
      </w:tr>
      <w:tr w:rsidR="00144CE7" w:rsidRPr="00E2486C" w14:paraId="4FD9A08F" w14:textId="77777777" w:rsidTr="00A125CB">
        <w:tc>
          <w:tcPr>
            <w:tcW w:w="625" w:type="dxa"/>
          </w:tcPr>
          <w:p w14:paraId="115D1FDC"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12</w:t>
            </w:r>
          </w:p>
        </w:tc>
        <w:tc>
          <w:tcPr>
            <w:tcW w:w="6120" w:type="dxa"/>
          </w:tcPr>
          <w:p w14:paraId="3C9BECAD"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Notification aux riverains ou alerte aux populations exposées en aval</w:t>
            </w:r>
          </w:p>
        </w:tc>
        <w:tc>
          <w:tcPr>
            <w:tcW w:w="2970" w:type="dxa"/>
          </w:tcPr>
          <w:p w14:paraId="44D373B3"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PES de la Banque et SO1, Traité/Convention international ratifié pertinent</w:t>
            </w:r>
          </w:p>
        </w:tc>
        <w:tc>
          <w:tcPr>
            <w:tcW w:w="2160" w:type="dxa"/>
          </w:tcPr>
          <w:p w14:paraId="7F0A8579"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NA</w:t>
            </w:r>
          </w:p>
        </w:tc>
        <w:tc>
          <w:tcPr>
            <w:tcW w:w="2250" w:type="dxa"/>
          </w:tcPr>
          <w:p w14:paraId="51AF5EEE"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NA</w:t>
            </w:r>
          </w:p>
        </w:tc>
      </w:tr>
      <w:tr w:rsidR="00144CE7" w:rsidRPr="00E2486C" w14:paraId="2B36F5E4" w14:textId="77777777" w:rsidTr="00A125CB">
        <w:tc>
          <w:tcPr>
            <w:tcW w:w="625" w:type="dxa"/>
          </w:tcPr>
          <w:p w14:paraId="6AF16E74"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13</w:t>
            </w:r>
          </w:p>
        </w:tc>
        <w:tc>
          <w:tcPr>
            <w:tcW w:w="6120" w:type="dxa"/>
          </w:tcPr>
          <w:p w14:paraId="4B27568B"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Renforcement des capacités des principaux responsables de la mise en œuvre du projet</w:t>
            </w:r>
          </w:p>
        </w:tc>
        <w:tc>
          <w:tcPr>
            <w:tcW w:w="2970" w:type="dxa"/>
          </w:tcPr>
          <w:p w14:paraId="3F2FFCD2"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SO1</w:t>
            </w:r>
          </w:p>
        </w:tc>
        <w:tc>
          <w:tcPr>
            <w:tcW w:w="2160" w:type="dxa"/>
          </w:tcPr>
          <w:p w14:paraId="2F02D477"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Les responsables de mise en œuvre ont renforcé leur capacité</w:t>
            </w:r>
          </w:p>
        </w:tc>
        <w:tc>
          <w:tcPr>
            <w:tcW w:w="2250" w:type="dxa"/>
          </w:tcPr>
          <w:p w14:paraId="1A9D9A59"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Avant et cours de la mise en œuvre du projet</w:t>
            </w:r>
          </w:p>
        </w:tc>
      </w:tr>
      <w:tr w:rsidR="00144CE7" w:rsidRPr="00E2486C" w14:paraId="628623A9" w14:textId="77777777" w:rsidTr="00A125CB">
        <w:tc>
          <w:tcPr>
            <w:tcW w:w="625" w:type="dxa"/>
          </w:tcPr>
          <w:p w14:paraId="7683F016"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14</w:t>
            </w:r>
          </w:p>
        </w:tc>
        <w:tc>
          <w:tcPr>
            <w:tcW w:w="6120" w:type="dxa"/>
          </w:tcPr>
          <w:p w14:paraId="3E9E680A"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Mise en œuvre du SGES/PAES</w:t>
            </w:r>
            <w:r w:rsidRPr="00E2486C">
              <w:rPr>
                <w:rFonts w:ascii="Times New Roman" w:hAnsi="Times New Roman" w:cs="Times New Roman"/>
                <w:b/>
                <w:bCs/>
                <w:noProof/>
                <w:color w:val="FF0000"/>
                <w:sz w:val="20"/>
                <w:szCs w:val="20"/>
                <w:vertAlign w:val="superscript"/>
              </w:rPr>
              <w:footnoteReference w:id="3"/>
            </w:r>
          </w:p>
        </w:tc>
        <w:tc>
          <w:tcPr>
            <w:tcW w:w="2970" w:type="dxa"/>
          </w:tcPr>
          <w:p w14:paraId="5E0A1EC6"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SO1 et SO9, exigences nationales</w:t>
            </w:r>
          </w:p>
        </w:tc>
        <w:tc>
          <w:tcPr>
            <w:tcW w:w="2160" w:type="dxa"/>
          </w:tcPr>
          <w:p w14:paraId="454B7549"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NA</w:t>
            </w:r>
          </w:p>
        </w:tc>
        <w:tc>
          <w:tcPr>
            <w:tcW w:w="2250" w:type="dxa"/>
          </w:tcPr>
          <w:p w14:paraId="7ADF45D0"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NA</w:t>
            </w:r>
          </w:p>
        </w:tc>
      </w:tr>
      <w:tr w:rsidR="00144CE7" w:rsidRPr="00E2486C" w14:paraId="0DFAC3A5" w14:textId="77777777" w:rsidTr="00A125CB">
        <w:tc>
          <w:tcPr>
            <w:tcW w:w="625" w:type="dxa"/>
          </w:tcPr>
          <w:p w14:paraId="4F130833" w14:textId="77777777" w:rsidR="00144CE7" w:rsidRPr="00E2486C" w:rsidRDefault="00144CE7" w:rsidP="00A125CB">
            <w:pPr>
              <w:jc w:val="right"/>
              <w:rPr>
                <w:rFonts w:ascii="Times New Roman" w:hAnsi="Times New Roman" w:cs="Times New Roman"/>
                <w:i/>
                <w:iCs/>
                <w:noProof/>
                <w:sz w:val="20"/>
                <w:szCs w:val="20"/>
              </w:rPr>
            </w:pPr>
            <w:r w:rsidRPr="00E2486C">
              <w:rPr>
                <w:rFonts w:ascii="Times New Roman" w:hAnsi="Times New Roman" w:cs="Times New Roman"/>
                <w:i/>
                <w:iCs/>
                <w:noProof/>
                <w:sz w:val="20"/>
                <w:szCs w:val="20"/>
              </w:rPr>
              <w:t>14.1</w:t>
            </w:r>
          </w:p>
        </w:tc>
        <w:tc>
          <w:tcPr>
            <w:tcW w:w="6120" w:type="dxa"/>
          </w:tcPr>
          <w:p w14:paraId="282E6565" w14:textId="77777777" w:rsidR="00144CE7" w:rsidRPr="00E2486C" w:rsidRDefault="00144CE7" w:rsidP="00A125CB">
            <w:pPr>
              <w:jc w:val="both"/>
              <w:rPr>
                <w:rFonts w:ascii="Times New Roman" w:hAnsi="Times New Roman" w:cs="Times New Roman"/>
                <w:i/>
                <w:iCs/>
                <w:noProof/>
                <w:sz w:val="20"/>
                <w:szCs w:val="20"/>
                <w:lang w:val="fr-FR"/>
              </w:rPr>
            </w:pPr>
            <w:r w:rsidRPr="00E2486C">
              <w:rPr>
                <w:rFonts w:ascii="Times New Roman" w:hAnsi="Times New Roman" w:cs="Times New Roman"/>
                <w:i/>
                <w:iCs/>
                <w:noProof/>
                <w:sz w:val="20"/>
                <w:szCs w:val="20"/>
                <w:lang w:val="fr-FR"/>
              </w:rPr>
              <w:t xml:space="preserve">Approbation de toute procédure de gestion E&amp;S requise </w:t>
            </w:r>
          </w:p>
        </w:tc>
        <w:tc>
          <w:tcPr>
            <w:tcW w:w="2970" w:type="dxa"/>
          </w:tcPr>
          <w:p w14:paraId="16F49781"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Idem</w:t>
            </w:r>
          </w:p>
        </w:tc>
        <w:tc>
          <w:tcPr>
            <w:tcW w:w="2160" w:type="dxa"/>
          </w:tcPr>
          <w:p w14:paraId="4064F21A" w14:textId="77777777" w:rsidR="00144CE7" w:rsidRPr="00E2486C" w:rsidRDefault="00144CE7" w:rsidP="00A125CB">
            <w:pPr>
              <w:tabs>
                <w:tab w:val="left" w:pos="0"/>
              </w:tabs>
              <w:jc w:val="center"/>
              <w:rPr>
                <w:rFonts w:ascii="Times New Roman" w:eastAsia="Calibri" w:hAnsi="Times New Roman" w:cs="Times New Roman"/>
                <w:noProof/>
                <w:sz w:val="20"/>
                <w:szCs w:val="20"/>
              </w:rPr>
            </w:pPr>
            <w:r w:rsidRPr="005D2D86">
              <w:rPr>
                <w:rFonts w:ascii="Times New Roman" w:eastAsia="Calibri" w:hAnsi="Times New Roman" w:cs="Times New Roman"/>
                <w:noProof/>
                <w:sz w:val="20"/>
                <w:szCs w:val="20"/>
              </w:rPr>
              <w:t>NA</w:t>
            </w:r>
          </w:p>
        </w:tc>
        <w:tc>
          <w:tcPr>
            <w:tcW w:w="2250" w:type="dxa"/>
          </w:tcPr>
          <w:p w14:paraId="7BA898CC" w14:textId="77777777" w:rsidR="00144CE7" w:rsidRPr="00E2486C" w:rsidRDefault="00144CE7" w:rsidP="00A125CB">
            <w:pPr>
              <w:jc w:val="center"/>
              <w:rPr>
                <w:rFonts w:ascii="Times New Roman" w:hAnsi="Times New Roman" w:cs="Times New Roman"/>
                <w:noProof/>
                <w:sz w:val="20"/>
                <w:szCs w:val="20"/>
              </w:rPr>
            </w:pPr>
            <w:r w:rsidRPr="005D2D86">
              <w:rPr>
                <w:rFonts w:ascii="Times New Roman" w:hAnsi="Times New Roman" w:cs="Times New Roman"/>
                <w:noProof/>
                <w:sz w:val="20"/>
                <w:szCs w:val="20"/>
              </w:rPr>
              <w:t>NA</w:t>
            </w:r>
          </w:p>
        </w:tc>
      </w:tr>
      <w:tr w:rsidR="00144CE7" w:rsidRPr="00E2486C" w14:paraId="6FD7821F" w14:textId="77777777" w:rsidTr="00A125CB">
        <w:tc>
          <w:tcPr>
            <w:tcW w:w="625" w:type="dxa"/>
          </w:tcPr>
          <w:p w14:paraId="68305C64" w14:textId="77777777" w:rsidR="00144CE7" w:rsidRPr="00E2486C" w:rsidRDefault="00144CE7" w:rsidP="00A125CB">
            <w:pPr>
              <w:jc w:val="right"/>
              <w:rPr>
                <w:rFonts w:ascii="Times New Roman" w:hAnsi="Times New Roman" w:cs="Times New Roman"/>
                <w:i/>
                <w:iCs/>
                <w:noProof/>
                <w:sz w:val="20"/>
                <w:szCs w:val="20"/>
              </w:rPr>
            </w:pPr>
            <w:r w:rsidRPr="00E2486C">
              <w:rPr>
                <w:rFonts w:ascii="Times New Roman" w:hAnsi="Times New Roman" w:cs="Times New Roman"/>
                <w:i/>
                <w:iCs/>
                <w:noProof/>
                <w:sz w:val="20"/>
                <w:szCs w:val="20"/>
              </w:rPr>
              <w:t>14.2</w:t>
            </w:r>
          </w:p>
        </w:tc>
        <w:tc>
          <w:tcPr>
            <w:tcW w:w="6120" w:type="dxa"/>
          </w:tcPr>
          <w:p w14:paraId="22556529" w14:textId="77777777" w:rsidR="00144CE7" w:rsidRPr="00E2486C" w:rsidRDefault="00144CE7" w:rsidP="00A125CB">
            <w:pPr>
              <w:jc w:val="both"/>
              <w:rPr>
                <w:rFonts w:ascii="Times New Roman" w:hAnsi="Times New Roman" w:cs="Times New Roman"/>
                <w:i/>
                <w:iCs/>
                <w:noProof/>
                <w:sz w:val="20"/>
                <w:szCs w:val="20"/>
                <w:lang w:val="fr-FR"/>
              </w:rPr>
            </w:pPr>
            <w:r w:rsidRPr="00E2486C">
              <w:rPr>
                <w:rFonts w:ascii="Times New Roman" w:hAnsi="Times New Roman" w:cs="Times New Roman"/>
                <w:i/>
                <w:iCs/>
                <w:noProof/>
                <w:sz w:val="20"/>
                <w:szCs w:val="20"/>
                <w:lang w:val="fr-FR"/>
              </w:rPr>
              <w:t>Mise en place de la fonction (Unité) E&amp;S</w:t>
            </w:r>
          </w:p>
        </w:tc>
        <w:tc>
          <w:tcPr>
            <w:tcW w:w="2970" w:type="dxa"/>
          </w:tcPr>
          <w:p w14:paraId="4116A0E6"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idem</w:t>
            </w:r>
          </w:p>
        </w:tc>
        <w:tc>
          <w:tcPr>
            <w:tcW w:w="2160" w:type="dxa"/>
          </w:tcPr>
          <w:p w14:paraId="1C276A94" w14:textId="77777777" w:rsidR="00144CE7" w:rsidRPr="00E2486C" w:rsidRDefault="00144CE7" w:rsidP="00A125CB">
            <w:pPr>
              <w:tabs>
                <w:tab w:val="left" w:pos="0"/>
              </w:tabs>
              <w:jc w:val="center"/>
              <w:rPr>
                <w:rFonts w:ascii="Times New Roman" w:eastAsia="Calibri" w:hAnsi="Times New Roman" w:cs="Times New Roman"/>
                <w:noProof/>
                <w:sz w:val="20"/>
                <w:szCs w:val="20"/>
              </w:rPr>
            </w:pPr>
            <w:r w:rsidRPr="005D2D86">
              <w:rPr>
                <w:rFonts w:ascii="Times New Roman" w:eastAsia="Calibri" w:hAnsi="Times New Roman" w:cs="Times New Roman"/>
                <w:noProof/>
                <w:sz w:val="20"/>
                <w:szCs w:val="20"/>
              </w:rPr>
              <w:t>NA</w:t>
            </w:r>
          </w:p>
        </w:tc>
        <w:tc>
          <w:tcPr>
            <w:tcW w:w="2250" w:type="dxa"/>
          </w:tcPr>
          <w:p w14:paraId="2F306D22" w14:textId="77777777" w:rsidR="00144CE7" w:rsidRPr="00E2486C" w:rsidRDefault="00144CE7" w:rsidP="00A125CB">
            <w:pPr>
              <w:jc w:val="center"/>
              <w:rPr>
                <w:rFonts w:ascii="Times New Roman" w:hAnsi="Times New Roman" w:cs="Times New Roman"/>
                <w:noProof/>
                <w:sz w:val="20"/>
                <w:szCs w:val="20"/>
              </w:rPr>
            </w:pPr>
            <w:r w:rsidRPr="005D2D86">
              <w:rPr>
                <w:rFonts w:ascii="Times New Roman" w:hAnsi="Times New Roman" w:cs="Times New Roman"/>
                <w:noProof/>
                <w:sz w:val="20"/>
                <w:szCs w:val="20"/>
              </w:rPr>
              <w:t>NA</w:t>
            </w:r>
          </w:p>
        </w:tc>
      </w:tr>
      <w:tr w:rsidR="00144CE7" w:rsidRPr="00E2486C" w14:paraId="6F3E74B5" w14:textId="77777777" w:rsidTr="00A125CB">
        <w:tc>
          <w:tcPr>
            <w:tcW w:w="625" w:type="dxa"/>
          </w:tcPr>
          <w:p w14:paraId="39A7D81F" w14:textId="77777777" w:rsidR="00144CE7" w:rsidRPr="00E2486C" w:rsidRDefault="00144CE7" w:rsidP="00A125CB">
            <w:pPr>
              <w:jc w:val="right"/>
              <w:rPr>
                <w:rFonts w:ascii="Times New Roman" w:hAnsi="Times New Roman" w:cs="Times New Roman"/>
                <w:i/>
                <w:iCs/>
                <w:noProof/>
                <w:sz w:val="20"/>
                <w:szCs w:val="20"/>
              </w:rPr>
            </w:pPr>
            <w:r w:rsidRPr="00E2486C">
              <w:rPr>
                <w:rFonts w:ascii="Times New Roman" w:hAnsi="Times New Roman" w:cs="Times New Roman"/>
                <w:i/>
                <w:iCs/>
                <w:noProof/>
                <w:sz w:val="20"/>
                <w:szCs w:val="20"/>
              </w:rPr>
              <w:t>14.3</w:t>
            </w:r>
          </w:p>
        </w:tc>
        <w:tc>
          <w:tcPr>
            <w:tcW w:w="6120" w:type="dxa"/>
          </w:tcPr>
          <w:p w14:paraId="771AF6A6" w14:textId="77777777" w:rsidR="00144CE7" w:rsidRPr="00E2486C" w:rsidRDefault="00144CE7" w:rsidP="00A125CB">
            <w:pPr>
              <w:jc w:val="both"/>
              <w:rPr>
                <w:rFonts w:ascii="Times New Roman" w:hAnsi="Times New Roman" w:cs="Times New Roman"/>
                <w:i/>
                <w:iCs/>
                <w:noProof/>
                <w:sz w:val="20"/>
                <w:szCs w:val="20"/>
                <w:lang w:val="fr-FR"/>
              </w:rPr>
            </w:pPr>
            <w:r w:rsidRPr="00E2486C">
              <w:rPr>
                <w:rFonts w:ascii="Times New Roman" w:hAnsi="Times New Roman" w:cs="Times New Roman"/>
                <w:i/>
                <w:iCs/>
                <w:noProof/>
                <w:sz w:val="20"/>
                <w:szCs w:val="20"/>
                <w:lang w:val="fr-FR"/>
              </w:rPr>
              <w:t>Renforcement des capacités de la fonction (Unité) E&amp;S</w:t>
            </w:r>
          </w:p>
        </w:tc>
        <w:tc>
          <w:tcPr>
            <w:tcW w:w="2970" w:type="dxa"/>
          </w:tcPr>
          <w:p w14:paraId="607532E4"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idem</w:t>
            </w:r>
          </w:p>
        </w:tc>
        <w:tc>
          <w:tcPr>
            <w:tcW w:w="2160" w:type="dxa"/>
          </w:tcPr>
          <w:p w14:paraId="0B2E46F3" w14:textId="77777777" w:rsidR="00144CE7" w:rsidRPr="00E2486C" w:rsidRDefault="00144CE7" w:rsidP="00A125CB">
            <w:pPr>
              <w:tabs>
                <w:tab w:val="left" w:pos="0"/>
              </w:tabs>
              <w:jc w:val="center"/>
              <w:rPr>
                <w:rFonts w:ascii="Times New Roman" w:eastAsia="Calibri" w:hAnsi="Times New Roman" w:cs="Times New Roman"/>
                <w:noProof/>
                <w:sz w:val="20"/>
                <w:szCs w:val="20"/>
              </w:rPr>
            </w:pPr>
            <w:r w:rsidRPr="005D2D86">
              <w:rPr>
                <w:rFonts w:ascii="Times New Roman" w:eastAsia="Calibri" w:hAnsi="Times New Roman" w:cs="Times New Roman"/>
                <w:noProof/>
                <w:sz w:val="20"/>
                <w:szCs w:val="20"/>
              </w:rPr>
              <w:t>NA</w:t>
            </w:r>
          </w:p>
        </w:tc>
        <w:tc>
          <w:tcPr>
            <w:tcW w:w="2250" w:type="dxa"/>
          </w:tcPr>
          <w:p w14:paraId="09647DE5" w14:textId="77777777" w:rsidR="00144CE7" w:rsidRPr="00E2486C" w:rsidRDefault="00144CE7" w:rsidP="00A125CB">
            <w:pPr>
              <w:jc w:val="center"/>
              <w:rPr>
                <w:rFonts w:ascii="Times New Roman" w:hAnsi="Times New Roman" w:cs="Times New Roman"/>
                <w:noProof/>
                <w:sz w:val="20"/>
                <w:szCs w:val="20"/>
              </w:rPr>
            </w:pPr>
            <w:r w:rsidRPr="005D2D86">
              <w:rPr>
                <w:rFonts w:ascii="Times New Roman" w:hAnsi="Times New Roman" w:cs="Times New Roman"/>
                <w:noProof/>
                <w:sz w:val="20"/>
                <w:szCs w:val="20"/>
              </w:rPr>
              <w:t>NA</w:t>
            </w:r>
          </w:p>
        </w:tc>
      </w:tr>
      <w:tr w:rsidR="00144CE7" w:rsidRPr="00E2486C" w14:paraId="0E091040" w14:textId="77777777" w:rsidTr="00A125CB">
        <w:tc>
          <w:tcPr>
            <w:tcW w:w="625" w:type="dxa"/>
          </w:tcPr>
          <w:p w14:paraId="4A103EA3" w14:textId="77777777" w:rsidR="00144CE7" w:rsidRPr="00E2486C" w:rsidRDefault="00144CE7" w:rsidP="00A125CB">
            <w:pPr>
              <w:jc w:val="right"/>
              <w:rPr>
                <w:rFonts w:ascii="Times New Roman" w:hAnsi="Times New Roman" w:cs="Times New Roman"/>
                <w:i/>
                <w:iCs/>
                <w:noProof/>
                <w:sz w:val="20"/>
                <w:szCs w:val="20"/>
              </w:rPr>
            </w:pPr>
            <w:r w:rsidRPr="00E2486C">
              <w:rPr>
                <w:rFonts w:ascii="Times New Roman" w:hAnsi="Times New Roman" w:cs="Times New Roman"/>
                <w:i/>
                <w:iCs/>
                <w:noProof/>
                <w:sz w:val="20"/>
                <w:szCs w:val="20"/>
              </w:rPr>
              <w:t>14.4</w:t>
            </w:r>
          </w:p>
        </w:tc>
        <w:tc>
          <w:tcPr>
            <w:tcW w:w="6120" w:type="dxa"/>
          </w:tcPr>
          <w:p w14:paraId="6C3FC8DB" w14:textId="77777777" w:rsidR="00144CE7" w:rsidRPr="00E2486C" w:rsidRDefault="00144CE7" w:rsidP="00A125CB">
            <w:pPr>
              <w:jc w:val="both"/>
              <w:rPr>
                <w:rFonts w:ascii="Times New Roman" w:hAnsi="Times New Roman" w:cs="Times New Roman"/>
                <w:i/>
                <w:iCs/>
                <w:noProof/>
                <w:sz w:val="20"/>
                <w:szCs w:val="20"/>
                <w:lang w:val="fr-FR"/>
              </w:rPr>
            </w:pPr>
            <w:r w:rsidRPr="00E2486C">
              <w:rPr>
                <w:rFonts w:ascii="Times New Roman" w:hAnsi="Times New Roman" w:cs="Times New Roman"/>
                <w:i/>
                <w:iCs/>
                <w:noProof/>
                <w:sz w:val="20"/>
                <w:szCs w:val="20"/>
                <w:lang w:val="fr-FR"/>
              </w:rPr>
              <w:t xml:space="preserve">Traitement de la chaîne de valeur de la due diligence E&amp;S </w:t>
            </w:r>
          </w:p>
        </w:tc>
        <w:tc>
          <w:tcPr>
            <w:tcW w:w="2970" w:type="dxa"/>
          </w:tcPr>
          <w:p w14:paraId="66096AFF"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idem</w:t>
            </w:r>
          </w:p>
        </w:tc>
        <w:tc>
          <w:tcPr>
            <w:tcW w:w="2160" w:type="dxa"/>
          </w:tcPr>
          <w:p w14:paraId="125AB924" w14:textId="77777777" w:rsidR="00144CE7" w:rsidRPr="00E2486C" w:rsidRDefault="00144CE7" w:rsidP="00A125CB">
            <w:pPr>
              <w:tabs>
                <w:tab w:val="left" w:pos="0"/>
              </w:tabs>
              <w:jc w:val="center"/>
              <w:rPr>
                <w:rFonts w:ascii="Times New Roman" w:eastAsia="Calibri" w:hAnsi="Times New Roman" w:cs="Times New Roman"/>
                <w:noProof/>
                <w:sz w:val="20"/>
                <w:szCs w:val="20"/>
              </w:rPr>
            </w:pPr>
            <w:r w:rsidRPr="005D2D86">
              <w:rPr>
                <w:rFonts w:ascii="Times New Roman" w:eastAsia="Calibri" w:hAnsi="Times New Roman" w:cs="Times New Roman"/>
                <w:noProof/>
                <w:sz w:val="20"/>
                <w:szCs w:val="20"/>
              </w:rPr>
              <w:t>NA</w:t>
            </w:r>
          </w:p>
        </w:tc>
        <w:tc>
          <w:tcPr>
            <w:tcW w:w="2250" w:type="dxa"/>
          </w:tcPr>
          <w:p w14:paraId="3D7D6143" w14:textId="77777777" w:rsidR="00144CE7" w:rsidRPr="00E2486C" w:rsidRDefault="00144CE7" w:rsidP="00A125CB">
            <w:pPr>
              <w:jc w:val="center"/>
              <w:rPr>
                <w:rFonts w:ascii="Times New Roman" w:hAnsi="Times New Roman" w:cs="Times New Roman"/>
                <w:noProof/>
                <w:sz w:val="20"/>
                <w:szCs w:val="20"/>
              </w:rPr>
            </w:pPr>
            <w:r w:rsidRPr="005D2D86">
              <w:rPr>
                <w:rFonts w:ascii="Times New Roman" w:hAnsi="Times New Roman" w:cs="Times New Roman"/>
                <w:noProof/>
                <w:sz w:val="20"/>
                <w:szCs w:val="20"/>
              </w:rPr>
              <w:t>NA</w:t>
            </w:r>
          </w:p>
        </w:tc>
      </w:tr>
      <w:tr w:rsidR="00144CE7" w:rsidRPr="00E2486C" w14:paraId="0EC2940C" w14:textId="77777777" w:rsidTr="00A125CB">
        <w:tc>
          <w:tcPr>
            <w:tcW w:w="625" w:type="dxa"/>
          </w:tcPr>
          <w:p w14:paraId="0CC1109D" w14:textId="77777777" w:rsidR="00144CE7" w:rsidRPr="00E2486C" w:rsidRDefault="00144CE7" w:rsidP="00A125CB">
            <w:pPr>
              <w:jc w:val="center"/>
              <w:rPr>
                <w:rFonts w:ascii="Times New Roman" w:hAnsi="Times New Roman" w:cs="Times New Roman"/>
                <w:noProof/>
                <w:sz w:val="20"/>
                <w:szCs w:val="20"/>
              </w:rPr>
            </w:pPr>
          </w:p>
          <w:p w14:paraId="65A714B3"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15</w:t>
            </w:r>
          </w:p>
        </w:tc>
        <w:tc>
          <w:tcPr>
            <w:tcW w:w="6120" w:type="dxa"/>
          </w:tcPr>
          <w:p w14:paraId="55D203AC"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Suspendre les travaux en cas de risques ou accidents ESST, notifier immédiatement la Banque, puis ne reprendre les travaux qu’après avis de la Banque.</w:t>
            </w:r>
          </w:p>
        </w:tc>
        <w:tc>
          <w:tcPr>
            <w:tcW w:w="2970" w:type="dxa"/>
          </w:tcPr>
          <w:p w14:paraId="74E3C5DB" w14:textId="77777777" w:rsidR="00144CE7" w:rsidRPr="00E2486C" w:rsidRDefault="00144CE7" w:rsidP="00A125CB">
            <w:pPr>
              <w:jc w:val="center"/>
              <w:rPr>
                <w:rFonts w:ascii="Times New Roman" w:hAnsi="Times New Roman" w:cs="Times New Roman"/>
                <w:sz w:val="20"/>
                <w:szCs w:val="20"/>
                <w:lang w:val="fr-FR"/>
              </w:rPr>
            </w:pPr>
          </w:p>
          <w:p w14:paraId="612A63BC"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PES de la Banque et SO1</w:t>
            </w:r>
          </w:p>
        </w:tc>
        <w:tc>
          <w:tcPr>
            <w:tcW w:w="2160" w:type="dxa"/>
          </w:tcPr>
          <w:p w14:paraId="324102D5"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 xml:space="preserve">Les accidents sont notifiés à la Banque </w:t>
            </w:r>
          </w:p>
        </w:tc>
        <w:tc>
          <w:tcPr>
            <w:tcW w:w="2250" w:type="dxa"/>
          </w:tcPr>
          <w:p w14:paraId="03166F90"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Immédiatement et au plus tard dans les 72 heures suivant l’incdient</w:t>
            </w:r>
          </w:p>
        </w:tc>
      </w:tr>
      <w:tr w:rsidR="00144CE7" w:rsidRPr="00E2486C" w14:paraId="4B20FE5A" w14:textId="77777777" w:rsidTr="00A125CB">
        <w:tc>
          <w:tcPr>
            <w:tcW w:w="625" w:type="dxa"/>
          </w:tcPr>
          <w:p w14:paraId="59B654B2"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16</w:t>
            </w:r>
          </w:p>
        </w:tc>
        <w:tc>
          <w:tcPr>
            <w:tcW w:w="6120" w:type="dxa"/>
          </w:tcPr>
          <w:p w14:paraId="42DC1452"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Préparer l’analyse des causes profondes (ACP) de tout accident ESST fatal, et mettre en œuvre le Plan d’actions Correctives (PAC).</w:t>
            </w:r>
          </w:p>
        </w:tc>
        <w:tc>
          <w:tcPr>
            <w:tcW w:w="2970" w:type="dxa"/>
          </w:tcPr>
          <w:p w14:paraId="10045799"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PES de la Banque et SO1</w:t>
            </w:r>
          </w:p>
        </w:tc>
        <w:tc>
          <w:tcPr>
            <w:tcW w:w="2160" w:type="dxa"/>
          </w:tcPr>
          <w:p w14:paraId="11A138D7"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ACP est préparé pour tout accident fatal</w:t>
            </w:r>
          </w:p>
        </w:tc>
        <w:tc>
          <w:tcPr>
            <w:tcW w:w="2250" w:type="dxa"/>
          </w:tcPr>
          <w:p w14:paraId="710E42AE"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Un mois après l’accident</w:t>
            </w:r>
          </w:p>
        </w:tc>
      </w:tr>
      <w:tr w:rsidR="00144CE7" w:rsidRPr="00E2486C" w14:paraId="3A871E5D" w14:textId="77777777" w:rsidTr="00A125CB">
        <w:tc>
          <w:tcPr>
            <w:tcW w:w="625" w:type="dxa"/>
          </w:tcPr>
          <w:p w14:paraId="4BCAA753" w14:textId="77777777" w:rsidR="00144CE7" w:rsidRPr="00E2486C" w:rsidRDefault="00144CE7" w:rsidP="00A125CB">
            <w:pPr>
              <w:jc w:val="center"/>
              <w:rPr>
                <w:rFonts w:ascii="Times New Roman" w:hAnsi="Times New Roman" w:cs="Times New Roman"/>
                <w:noProof/>
                <w:sz w:val="20"/>
                <w:szCs w:val="20"/>
              </w:rPr>
            </w:pPr>
            <w:r w:rsidRPr="00E2486C">
              <w:rPr>
                <w:rFonts w:ascii="Times New Roman" w:hAnsi="Times New Roman" w:cs="Times New Roman"/>
                <w:noProof/>
                <w:sz w:val="20"/>
                <w:szCs w:val="20"/>
              </w:rPr>
              <w:t>17</w:t>
            </w:r>
          </w:p>
        </w:tc>
        <w:tc>
          <w:tcPr>
            <w:tcW w:w="6120" w:type="dxa"/>
          </w:tcPr>
          <w:p w14:paraId="3881F2D2" w14:textId="77777777" w:rsidR="00144CE7" w:rsidRPr="00E2486C" w:rsidRDefault="00144CE7" w:rsidP="00A125CB">
            <w:pPr>
              <w:jc w:val="both"/>
              <w:rPr>
                <w:rFonts w:ascii="Times New Roman" w:hAnsi="Times New Roman" w:cs="Times New Roman"/>
                <w:noProof/>
                <w:sz w:val="20"/>
                <w:szCs w:val="20"/>
                <w:lang w:val="fr-FR"/>
              </w:rPr>
            </w:pPr>
            <w:r w:rsidRPr="00E2486C">
              <w:rPr>
                <w:rFonts w:ascii="Times New Roman" w:hAnsi="Times New Roman" w:cs="Times New Roman"/>
                <w:noProof/>
                <w:sz w:val="20"/>
                <w:szCs w:val="20"/>
                <w:lang w:val="fr-FR"/>
              </w:rPr>
              <w:t>Diffusion au public des rapports E&amp;S du projet</w:t>
            </w:r>
          </w:p>
        </w:tc>
        <w:tc>
          <w:tcPr>
            <w:tcW w:w="2970" w:type="dxa"/>
          </w:tcPr>
          <w:p w14:paraId="6C4D29B1" w14:textId="77777777" w:rsidR="00144CE7" w:rsidRPr="00E2486C" w:rsidRDefault="00144CE7" w:rsidP="00A125CB">
            <w:pPr>
              <w:jc w:val="center"/>
              <w:rPr>
                <w:rFonts w:ascii="Times New Roman" w:hAnsi="Times New Roman" w:cs="Times New Roman"/>
                <w:noProof/>
                <w:sz w:val="20"/>
                <w:szCs w:val="20"/>
                <w:lang w:val="fr-FR"/>
              </w:rPr>
            </w:pPr>
            <w:r w:rsidRPr="00E2486C">
              <w:rPr>
                <w:rFonts w:ascii="Times New Roman" w:hAnsi="Times New Roman" w:cs="Times New Roman"/>
                <w:sz w:val="20"/>
                <w:szCs w:val="20"/>
                <w:lang w:val="fr-FR"/>
              </w:rPr>
              <w:t>SO1, SO10 et Politique de diffusion et d’accès à l’information</w:t>
            </w:r>
          </w:p>
        </w:tc>
        <w:tc>
          <w:tcPr>
            <w:tcW w:w="2160" w:type="dxa"/>
          </w:tcPr>
          <w:p w14:paraId="67456F79" w14:textId="77777777" w:rsidR="00144CE7" w:rsidRPr="00E2486C" w:rsidRDefault="00144CE7" w:rsidP="00A125CB">
            <w:pPr>
              <w:tabs>
                <w:tab w:val="left" w:pos="0"/>
              </w:tabs>
              <w:jc w:val="center"/>
              <w:rPr>
                <w:rFonts w:ascii="Times New Roman" w:eastAsia="Calibri" w:hAnsi="Times New Roman" w:cs="Times New Roman"/>
                <w:noProof/>
                <w:sz w:val="20"/>
                <w:szCs w:val="20"/>
                <w:lang w:val="fr-FR"/>
              </w:rPr>
            </w:pPr>
            <w:r w:rsidRPr="005D2D86">
              <w:rPr>
                <w:rFonts w:ascii="Times New Roman" w:eastAsia="Calibri" w:hAnsi="Times New Roman" w:cs="Times New Roman"/>
                <w:noProof/>
                <w:sz w:val="20"/>
                <w:szCs w:val="20"/>
                <w:lang w:val="fr-FR"/>
              </w:rPr>
              <w:t>Tous les rapports E&amp;S sont diffusés au public</w:t>
            </w:r>
          </w:p>
        </w:tc>
        <w:tc>
          <w:tcPr>
            <w:tcW w:w="2250" w:type="dxa"/>
          </w:tcPr>
          <w:p w14:paraId="6DD25EAE" w14:textId="77777777" w:rsidR="00144CE7" w:rsidRPr="00E2486C" w:rsidRDefault="00144CE7" w:rsidP="00A125CB">
            <w:pPr>
              <w:jc w:val="center"/>
              <w:rPr>
                <w:rFonts w:ascii="Times New Roman" w:hAnsi="Times New Roman" w:cs="Times New Roman"/>
                <w:noProof/>
                <w:sz w:val="20"/>
                <w:szCs w:val="20"/>
                <w:lang w:val="fr-FR"/>
              </w:rPr>
            </w:pPr>
            <w:r w:rsidRPr="005D2D86">
              <w:rPr>
                <w:rFonts w:ascii="Times New Roman" w:hAnsi="Times New Roman" w:cs="Times New Roman"/>
                <w:noProof/>
                <w:sz w:val="20"/>
                <w:szCs w:val="20"/>
                <w:lang w:val="fr-FR"/>
              </w:rPr>
              <w:t>Pendant la phase de préparation et au cours de la mise en œuvre du projet</w:t>
            </w:r>
          </w:p>
        </w:tc>
      </w:tr>
    </w:tbl>
    <w:p w14:paraId="614E0989" w14:textId="7EC8A028" w:rsidR="00F007F0" w:rsidRDefault="00F007F0" w:rsidP="00144CE7">
      <w:pPr>
        <w:spacing w:after="0" w:line="240" w:lineRule="auto"/>
      </w:pPr>
    </w:p>
    <w:sectPr w:rsidR="00F007F0" w:rsidSect="00144CE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45612" w14:textId="77777777" w:rsidR="00144CE7" w:rsidRDefault="00144CE7" w:rsidP="00144CE7">
      <w:pPr>
        <w:spacing w:after="0" w:line="240" w:lineRule="auto"/>
      </w:pPr>
      <w:r>
        <w:separator/>
      </w:r>
    </w:p>
  </w:endnote>
  <w:endnote w:type="continuationSeparator" w:id="0">
    <w:p w14:paraId="19A3C7BD" w14:textId="77777777" w:rsidR="00144CE7" w:rsidRDefault="00144CE7" w:rsidP="0014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2D704" w14:textId="77777777" w:rsidR="00144CE7" w:rsidRDefault="00144CE7" w:rsidP="00144CE7">
      <w:pPr>
        <w:spacing w:after="0" w:line="240" w:lineRule="auto"/>
      </w:pPr>
      <w:r>
        <w:separator/>
      </w:r>
    </w:p>
  </w:footnote>
  <w:footnote w:type="continuationSeparator" w:id="0">
    <w:p w14:paraId="10F570F8" w14:textId="77777777" w:rsidR="00144CE7" w:rsidRDefault="00144CE7" w:rsidP="00144CE7">
      <w:pPr>
        <w:spacing w:after="0" w:line="240" w:lineRule="auto"/>
      </w:pPr>
      <w:r>
        <w:continuationSeparator/>
      </w:r>
    </w:p>
  </w:footnote>
  <w:footnote w:id="1">
    <w:p w14:paraId="1FF9E568" w14:textId="77777777" w:rsidR="00144CE7" w:rsidRPr="0065526B" w:rsidRDefault="00144CE7" w:rsidP="00144CE7">
      <w:pPr>
        <w:pStyle w:val="Notedebasdepage"/>
        <w:rPr>
          <w:rFonts w:ascii="Times New Roman" w:hAnsi="Times New Roman" w:cs="Times New Roman"/>
          <w:sz w:val="14"/>
          <w:szCs w:val="14"/>
          <w:lang w:val="fr-FR"/>
        </w:rPr>
      </w:pPr>
      <w:r w:rsidRPr="0065526B">
        <w:rPr>
          <w:rStyle w:val="Appelnotedebasdep"/>
          <w:rFonts w:ascii="Times New Roman" w:hAnsi="Times New Roman" w:cs="Times New Roman"/>
          <w:sz w:val="14"/>
          <w:szCs w:val="14"/>
        </w:rPr>
        <w:footnoteRef/>
      </w:r>
      <w:r w:rsidRPr="0065526B">
        <w:rPr>
          <w:rFonts w:ascii="Times New Roman" w:hAnsi="Times New Roman" w:cs="Times New Roman"/>
          <w:sz w:val="14"/>
          <w:szCs w:val="14"/>
          <w:lang w:val="fr-FR"/>
        </w:rPr>
        <w:t xml:space="preserve"> Le PGES fait référence à tous les risques/impacts et mesures E&amp;S, tels qu’approuvés dans tous les documents E&amp;S </w:t>
      </w:r>
      <w:r>
        <w:rPr>
          <w:rFonts w:ascii="Times New Roman" w:hAnsi="Times New Roman" w:cs="Times New Roman"/>
          <w:sz w:val="14"/>
          <w:szCs w:val="14"/>
          <w:lang w:val="fr-FR"/>
        </w:rPr>
        <w:t>publiés</w:t>
      </w:r>
      <w:r w:rsidRPr="0065526B">
        <w:rPr>
          <w:rFonts w:ascii="Times New Roman" w:hAnsi="Times New Roman" w:cs="Times New Roman"/>
          <w:sz w:val="14"/>
          <w:szCs w:val="14"/>
          <w:lang w:val="fr-FR"/>
        </w:rPr>
        <w:t xml:space="preserve"> et convenus entre la Banque et l’Emprunteur. Pour les projets impliquant plusieurs sous-projets identifiés, préparés et mis en œuvre au cours du projet, l'Emprunteur devra démontrer à la Banque, avant l'évaluation du projet, en préparant la documentation E&amp;S d'un échantillon de sous-projets, qu'il a la capacité de réaliser une évaluation environnementale et sociale appropriée des sous-projets, de préparer et de mettre en œuvre ces sous-projets conformément aux lois nationales et aux SO. (</w:t>
      </w:r>
      <w:r w:rsidRPr="0065526B">
        <w:rPr>
          <w:rFonts w:ascii="Times New Roman" w:hAnsi="Times New Roman" w:cs="Times New Roman"/>
          <w:b/>
          <w:bCs/>
          <w:i/>
          <w:iCs/>
          <w:sz w:val="14"/>
          <w:szCs w:val="14"/>
          <w:lang w:val="fr-FR"/>
        </w:rPr>
        <w:t>Section III.2.3 PES de la Banque et section D de la SO1</w:t>
      </w:r>
      <w:r w:rsidRPr="0065526B">
        <w:rPr>
          <w:rFonts w:ascii="Times New Roman" w:hAnsi="Times New Roman" w:cs="Times New Roman"/>
          <w:sz w:val="14"/>
          <w:szCs w:val="14"/>
          <w:lang w:val="fr-FR"/>
        </w:rPr>
        <w:t>).</w:t>
      </w:r>
    </w:p>
  </w:footnote>
  <w:footnote w:id="2">
    <w:p w14:paraId="50E2802D" w14:textId="77777777" w:rsidR="00144CE7" w:rsidRPr="00B9463E" w:rsidRDefault="00144CE7" w:rsidP="00144CE7">
      <w:pPr>
        <w:pStyle w:val="Notedebasdepage"/>
        <w:rPr>
          <w:rFonts w:ascii="Times New Roman" w:hAnsi="Times New Roman" w:cs="Times New Roman"/>
          <w:sz w:val="14"/>
          <w:szCs w:val="14"/>
          <w:lang w:val="fr-FR"/>
        </w:rPr>
      </w:pPr>
      <w:r w:rsidRPr="00B9463E">
        <w:rPr>
          <w:rStyle w:val="Appelnotedebasdep"/>
          <w:rFonts w:ascii="Times New Roman" w:hAnsi="Times New Roman" w:cs="Times New Roman"/>
          <w:sz w:val="14"/>
          <w:szCs w:val="14"/>
        </w:rPr>
        <w:footnoteRef/>
      </w:r>
      <w:r w:rsidRPr="00B9463E">
        <w:rPr>
          <w:rFonts w:ascii="Times New Roman" w:hAnsi="Times New Roman" w:cs="Times New Roman"/>
          <w:sz w:val="14"/>
          <w:szCs w:val="14"/>
          <w:lang w:val="fr-FR"/>
        </w:rPr>
        <w:t xml:space="preserve"> Veuillez ajouter toute action clé pertinente et/ou indiquer "Non applicable" dans la troisième colonne ("Fondement de l'exigence") pour les actions qui ne sont pas applicables au projet.</w:t>
      </w:r>
    </w:p>
  </w:footnote>
  <w:footnote w:id="3">
    <w:p w14:paraId="1C5C1D6F" w14:textId="77777777" w:rsidR="00144CE7" w:rsidRPr="00A944D1" w:rsidRDefault="00144CE7" w:rsidP="00144CE7">
      <w:pPr>
        <w:pStyle w:val="Notedebasdepage"/>
        <w:rPr>
          <w:rFonts w:ascii="Times New Roman" w:hAnsi="Times New Roman" w:cs="Times New Roman"/>
          <w:sz w:val="14"/>
          <w:szCs w:val="14"/>
          <w:lang w:val="fr-FR"/>
        </w:rPr>
      </w:pPr>
      <w:r w:rsidRPr="0065526B">
        <w:rPr>
          <w:rStyle w:val="Appelnotedebasdep"/>
          <w:rFonts w:ascii="Times New Roman" w:hAnsi="Times New Roman" w:cs="Times New Roman"/>
          <w:sz w:val="14"/>
          <w:szCs w:val="14"/>
        </w:rPr>
        <w:footnoteRef/>
      </w:r>
      <w:r w:rsidRPr="00A944D1">
        <w:rPr>
          <w:rFonts w:ascii="Times New Roman" w:hAnsi="Times New Roman" w:cs="Times New Roman"/>
          <w:sz w:val="14"/>
          <w:szCs w:val="14"/>
          <w:lang w:val="fr-FR"/>
        </w:rPr>
        <w:t xml:space="preserve"> S’applique aux opérations non-souveraines et les </w:t>
      </w:r>
      <w:r>
        <w:rPr>
          <w:rFonts w:ascii="Times New Roman" w:hAnsi="Times New Roman" w:cs="Times New Roman"/>
          <w:sz w:val="14"/>
          <w:szCs w:val="14"/>
          <w:lang w:val="fr-FR"/>
        </w:rPr>
        <w:t>projets du secteur public mis en œuvre par des Agences/Institutions autonomes permanentes.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4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E7"/>
    <w:rsid w:val="00144CE7"/>
    <w:rsid w:val="001D6E46"/>
    <w:rsid w:val="00571A09"/>
    <w:rsid w:val="00AD5C2F"/>
    <w:rsid w:val="00E97C0C"/>
    <w:rsid w:val="00F00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F46B"/>
  <w15:chartTrackingRefBased/>
  <w15:docId w15:val="{39312AE5-744B-479E-9C1B-27F6AADE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E7"/>
    <w:rPr>
      <w:kern w:val="0"/>
    </w:rPr>
  </w:style>
  <w:style w:type="paragraph" w:styleId="Titre1">
    <w:name w:val="heading 1"/>
    <w:basedOn w:val="Normal"/>
    <w:next w:val="Normal"/>
    <w:link w:val="Titre1Car"/>
    <w:uiPriority w:val="9"/>
    <w:qFormat/>
    <w:rsid w:val="00144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4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4C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4C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4C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4C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4C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4C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4C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4C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4C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4C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4C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4C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4C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4C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4C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4CE7"/>
    <w:rPr>
      <w:rFonts w:eastAsiaTheme="majorEastAsia" w:cstheme="majorBidi"/>
      <w:color w:val="272727" w:themeColor="text1" w:themeTint="D8"/>
    </w:rPr>
  </w:style>
  <w:style w:type="paragraph" w:styleId="Titre">
    <w:name w:val="Title"/>
    <w:basedOn w:val="Normal"/>
    <w:next w:val="Normal"/>
    <w:link w:val="TitreCar"/>
    <w:uiPriority w:val="10"/>
    <w:qFormat/>
    <w:rsid w:val="00144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4C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4C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4C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4CE7"/>
    <w:pPr>
      <w:spacing w:before="160"/>
      <w:jc w:val="center"/>
    </w:pPr>
    <w:rPr>
      <w:i/>
      <w:iCs/>
      <w:color w:val="404040" w:themeColor="text1" w:themeTint="BF"/>
    </w:rPr>
  </w:style>
  <w:style w:type="character" w:customStyle="1" w:styleId="CitationCar">
    <w:name w:val="Citation Car"/>
    <w:basedOn w:val="Policepardfaut"/>
    <w:link w:val="Citation"/>
    <w:uiPriority w:val="29"/>
    <w:rsid w:val="00144CE7"/>
    <w:rPr>
      <w:i/>
      <w:iCs/>
      <w:color w:val="404040" w:themeColor="text1" w:themeTint="BF"/>
    </w:rPr>
  </w:style>
  <w:style w:type="paragraph" w:styleId="Paragraphedeliste">
    <w:name w:val="List Paragraph"/>
    <w:basedOn w:val="Normal"/>
    <w:uiPriority w:val="34"/>
    <w:qFormat/>
    <w:rsid w:val="00144CE7"/>
    <w:pPr>
      <w:ind w:left="720"/>
      <w:contextualSpacing/>
    </w:pPr>
  </w:style>
  <w:style w:type="character" w:styleId="Accentuationintense">
    <w:name w:val="Intense Emphasis"/>
    <w:basedOn w:val="Policepardfaut"/>
    <w:uiPriority w:val="21"/>
    <w:qFormat/>
    <w:rsid w:val="00144CE7"/>
    <w:rPr>
      <w:i/>
      <w:iCs/>
      <w:color w:val="0F4761" w:themeColor="accent1" w:themeShade="BF"/>
    </w:rPr>
  </w:style>
  <w:style w:type="paragraph" w:styleId="Citationintense">
    <w:name w:val="Intense Quote"/>
    <w:basedOn w:val="Normal"/>
    <w:next w:val="Normal"/>
    <w:link w:val="CitationintenseCar"/>
    <w:uiPriority w:val="30"/>
    <w:qFormat/>
    <w:rsid w:val="00144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4CE7"/>
    <w:rPr>
      <w:i/>
      <w:iCs/>
      <w:color w:val="0F4761" w:themeColor="accent1" w:themeShade="BF"/>
    </w:rPr>
  </w:style>
  <w:style w:type="character" w:styleId="Rfrenceintense">
    <w:name w:val="Intense Reference"/>
    <w:basedOn w:val="Policepardfaut"/>
    <w:uiPriority w:val="32"/>
    <w:qFormat/>
    <w:rsid w:val="00144CE7"/>
    <w:rPr>
      <w:b/>
      <w:bCs/>
      <w:smallCaps/>
      <w:color w:val="0F4761" w:themeColor="accent1" w:themeShade="BF"/>
      <w:spacing w:val="5"/>
    </w:rPr>
  </w:style>
  <w:style w:type="table" w:styleId="Grilledutableau">
    <w:name w:val="Table Grid"/>
    <w:basedOn w:val="TableauNormal"/>
    <w:uiPriority w:val="39"/>
    <w:rsid w:val="00144C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ingle space,footnote text,FOOTNOTES,fn,f,ft,ADB,Char,Footnote Text Char1,Footnote Text Char Char,Footnote ak,Footnotes Char,Footnote ak Char,fn cafc,Footnotes Char Char,fn Char Char,ALTS FOOTNOTE Char"/>
    <w:basedOn w:val="Normal"/>
    <w:link w:val="NotedebasdepageCar1"/>
    <w:unhideWhenUsed/>
    <w:qFormat/>
    <w:rsid w:val="00144CE7"/>
    <w:pPr>
      <w:spacing w:after="0" w:line="240" w:lineRule="auto"/>
      <w:jc w:val="both"/>
    </w:pPr>
    <w:rPr>
      <w:rFonts w:ascii="Century Schoolbook" w:hAnsi="Century Schoolbook"/>
      <w:sz w:val="20"/>
      <w:szCs w:val="20"/>
      <w:lang w:val="en-US"/>
      <w14:ligatures w14:val="none"/>
    </w:rPr>
  </w:style>
  <w:style w:type="character" w:customStyle="1" w:styleId="NotedebasdepageCar">
    <w:name w:val="Note de bas de page Car"/>
    <w:basedOn w:val="Policepardfaut"/>
    <w:uiPriority w:val="99"/>
    <w:semiHidden/>
    <w:rsid w:val="00144CE7"/>
    <w:rPr>
      <w:kern w:val="0"/>
      <w:sz w:val="20"/>
      <w:szCs w:val="20"/>
    </w:rPr>
  </w:style>
  <w:style w:type="character" w:customStyle="1" w:styleId="NotedebasdepageCar1">
    <w:name w:val="Note de bas de page Car1"/>
    <w:aliases w:val="single space Car,footnote text Car,FOOTNOTES Car,fn Car,f Car,ft Car,ADB Car,Char Car,Footnote Text Char1 Car,Footnote Text Char Char Car,Footnote ak Car,Footnotes Char Car,Footnote ak Char Car,fn cafc Car,fn Char Char Car"/>
    <w:basedOn w:val="Policepardfaut"/>
    <w:link w:val="Notedebasdepage"/>
    <w:rsid w:val="00144CE7"/>
    <w:rPr>
      <w:rFonts w:ascii="Century Schoolbook" w:hAnsi="Century Schoolbook"/>
      <w:kern w:val="0"/>
      <w:sz w:val="20"/>
      <w:szCs w:val="20"/>
      <w:lang w:val="en-US"/>
      <w14:ligatures w14:val="none"/>
    </w:rPr>
  </w:style>
  <w:style w:type="character" w:styleId="Appelnotedebasdep">
    <w:name w:val="footnote reference"/>
    <w:aliases w:val="ftref Char Char Char,16 Point Char Char Char,Superscript 6 Point Char Char Char,Char Char Char Char Car Char Char Char Char,Char Char Char Char Car Char Char1 Char Char Char Char Char Char,Footnotes refss,Footnote Reference1,ftre"/>
    <w:basedOn w:val="Policepardfaut"/>
    <w:unhideWhenUsed/>
    <w:qFormat/>
    <w:rsid w:val="00144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1053</Words>
  <Characters>5792</Characters>
  <Application>Microsoft Office Word</Application>
  <DocSecurity>0</DocSecurity>
  <Lines>48</Lines>
  <Paragraphs>13</Paragraphs>
  <ScaleCrop>false</ScaleCrop>
  <Company>AfDB</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OUEDRAOGO, ALFRED REGIS N.</dc:creator>
  <cp:keywords/>
  <dc:description/>
  <cp:lastModifiedBy>OUEDRAOGO, ALFRED REGIS N.</cp:lastModifiedBy>
  <cp:revision>1</cp:revision>
  <dcterms:created xsi:type="dcterms:W3CDTF">2025-06-16T11:28:00Z</dcterms:created>
  <dcterms:modified xsi:type="dcterms:W3CDTF">2025-06-16T11:33:00Z</dcterms:modified>
</cp:coreProperties>
</file>